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237F657">
      <w:pPr>
        <w:pStyle w:val="2"/>
        <w:spacing w:before="0" w:after="0"/>
        <w:ind w:left="0" w:leftChars="0" w:firstLine="0" w:firstLineChars="0"/>
        <w:jc w:val="center"/>
        <w:rPr>
          <w:b w:val="0"/>
        </w:rPr>
      </w:pPr>
      <w:bookmarkStart w:id="0" w:name="_Toc7351"/>
      <w:bookmarkStart w:id="1" w:name="OLE_LINK1"/>
      <w:bookmarkStart w:id="2" w:name="_Toc443663048"/>
      <w:r>
        <w:rPr>
          <w:rFonts w:hint="eastAsia" w:ascii="方正小标宋简体" w:eastAsia="方正小标宋简体"/>
          <w:b w:val="0"/>
          <w:sz w:val="32"/>
          <w:szCs w:val="40"/>
          <w:lang w:val="en-US" w:eastAsia="zh-CN"/>
        </w:rPr>
        <w:t>武汉理工大学</w:t>
      </w:r>
      <w:r>
        <w:rPr>
          <w:rFonts w:hint="eastAsia" w:ascii="方正小标宋简体" w:eastAsia="方正小标宋简体"/>
          <w:b w:val="0"/>
          <w:sz w:val="32"/>
          <w:szCs w:val="40"/>
        </w:rPr>
        <w:t>信息工程学院研究生奖学金评审办法</w:t>
      </w:r>
      <w:bookmarkEnd w:id="0"/>
    </w:p>
    <w:p w14:paraId="5205E9E7">
      <w:pPr>
        <w:pStyle w:val="3"/>
        <w:rPr>
          <w:rFonts w:hint="eastAsia"/>
          <w:szCs w:val="28"/>
        </w:rPr>
      </w:pPr>
      <w:r>
        <w:rPr>
          <w:rFonts w:hint="eastAsia"/>
          <w:szCs w:val="28"/>
        </w:rPr>
        <w:t xml:space="preserve">第一章 </w:t>
      </w:r>
      <w:r>
        <w:rPr>
          <w:szCs w:val="28"/>
        </w:rPr>
        <w:t xml:space="preserve"> </w:t>
      </w:r>
      <w:r>
        <w:rPr>
          <w:rFonts w:hint="eastAsia"/>
          <w:szCs w:val="28"/>
        </w:rPr>
        <w:t>总 则</w:t>
      </w:r>
    </w:p>
    <w:p w14:paraId="64DDC3F5">
      <w:pPr>
        <w:ind w:firstLine="560"/>
        <w:rPr>
          <w:rFonts w:eastAsia="仿宋_GB2312"/>
          <w:sz w:val="28"/>
          <w:szCs w:val="28"/>
        </w:rPr>
      </w:pPr>
      <w:r>
        <w:rPr>
          <w:rFonts w:hint="eastAsia" w:eastAsia="仿宋_GB2312"/>
          <w:b/>
          <w:sz w:val="28"/>
          <w:szCs w:val="28"/>
        </w:rPr>
        <w:t>第一条</w:t>
      </w:r>
      <w:r>
        <w:rPr>
          <w:rFonts w:hint="eastAsia" w:eastAsia="仿宋_GB2312"/>
          <w:sz w:val="28"/>
          <w:szCs w:val="28"/>
        </w:rPr>
        <w:t xml:space="preserve"> 为了进一步提高研究生培养质量，深化研究生培养机制改革，促进拔尖创新人才成长，激励研究生积极参与科学研究和社会实践，全面提高综合素质，充分调动研究生导师和研究生的积极性与主动性，形成良好的研究生激励机制和约束机制，根据《武汉理工大学研究生国家奖学金管理暂行办法（校研字【2022】33号）》、《武汉理工大学研究生学业奖学金管理暂行办法（校研字【2022】34号）》等文件精神与相关要求，结合我院实际情况，特制定本办法。</w:t>
      </w:r>
    </w:p>
    <w:p w14:paraId="1B201F7E">
      <w:pPr>
        <w:ind w:firstLine="560"/>
      </w:pPr>
      <w:r>
        <w:rPr>
          <w:rFonts w:hint="eastAsia" w:eastAsia="仿宋_GB2312"/>
          <w:b/>
          <w:sz w:val="28"/>
          <w:szCs w:val="28"/>
        </w:rPr>
        <w:t xml:space="preserve">第二条 </w:t>
      </w:r>
      <w:r>
        <w:rPr>
          <w:rFonts w:hint="eastAsia" w:eastAsia="仿宋_GB2312"/>
          <w:sz w:val="28"/>
          <w:szCs w:val="28"/>
        </w:rPr>
        <w:t>奖学金类别分为研究生国家奖学金、研究生学业奖学金、研究生卓越奖学金</w:t>
      </w:r>
      <w:r>
        <w:rPr>
          <w:rFonts w:hint="eastAsia" w:eastAsia="仿宋_GB2312"/>
          <w:sz w:val="28"/>
          <w:szCs w:val="28"/>
          <w:lang w:eastAsia="zh-CN"/>
        </w:rPr>
        <w:t>。</w:t>
      </w:r>
      <w:r>
        <w:rPr>
          <w:rFonts w:hint="eastAsia" w:eastAsia="仿宋_GB2312"/>
          <w:sz w:val="28"/>
          <w:szCs w:val="28"/>
        </w:rPr>
        <w:t>用于奖励表现优异的全日制（全脱产）</w:t>
      </w:r>
      <w:r>
        <w:rPr>
          <w:rFonts w:hint="eastAsia" w:eastAsia="仿宋_GB2312"/>
          <w:sz w:val="28"/>
          <w:szCs w:val="28"/>
          <w:lang w:val="en-US" w:eastAsia="zh-CN"/>
        </w:rPr>
        <w:t>非定向</w:t>
      </w:r>
      <w:r>
        <w:rPr>
          <w:rFonts w:hint="eastAsia" w:eastAsia="仿宋_GB2312"/>
          <w:sz w:val="28"/>
          <w:szCs w:val="28"/>
        </w:rPr>
        <w:t>研究生，定向培养研究</w:t>
      </w:r>
      <w:r>
        <w:rPr>
          <w:rFonts w:hint="eastAsia" w:eastAsia="仿宋_GB2312"/>
          <w:sz w:val="28"/>
          <w:szCs w:val="28"/>
          <w:lang w:eastAsia="zh-CN"/>
        </w:rPr>
        <w:t>（</w:t>
      </w:r>
      <w:r>
        <w:rPr>
          <w:rFonts w:hint="eastAsia" w:eastAsia="仿宋_GB2312"/>
          <w:sz w:val="28"/>
          <w:szCs w:val="28"/>
        </w:rPr>
        <w:t>强军计划研究生、少数民族高层次骨干人才计划除外</w:t>
      </w:r>
      <w:r>
        <w:rPr>
          <w:rFonts w:hint="eastAsia" w:eastAsia="仿宋_GB2312"/>
          <w:sz w:val="28"/>
          <w:szCs w:val="28"/>
          <w:lang w:eastAsia="zh-CN"/>
        </w:rPr>
        <w:t>）</w:t>
      </w:r>
      <w:r>
        <w:rPr>
          <w:rFonts w:hint="eastAsia" w:eastAsia="仿宋_GB2312"/>
          <w:sz w:val="28"/>
          <w:szCs w:val="28"/>
        </w:rPr>
        <w:t>以及档案（学生身份档案）不在校者不在参评范围内</w:t>
      </w:r>
      <w:r>
        <w:rPr>
          <w:rFonts w:hint="eastAsia" w:eastAsia="仿宋_GB2312"/>
          <w:sz w:val="28"/>
          <w:szCs w:val="28"/>
          <w:lang w:eastAsia="zh-CN"/>
        </w:rPr>
        <w:t>，</w:t>
      </w:r>
      <w:r>
        <w:rPr>
          <w:rFonts w:hint="eastAsia" w:eastAsia="仿宋_GB2312"/>
          <w:sz w:val="28"/>
          <w:szCs w:val="28"/>
        </w:rPr>
        <w:t>其它类别的研究生根据学校相关规定执行</w:t>
      </w:r>
      <w:r>
        <w:rPr>
          <w:rFonts w:hint="eastAsia" w:eastAsia="仿宋_GB2312"/>
          <w:sz w:val="28"/>
          <w:szCs w:val="28"/>
          <w:lang w:eastAsia="zh-CN"/>
        </w:rPr>
        <w:t>。</w:t>
      </w:r>
    </w:p>
    <w:p w14:paraId="5A756261">
      <w:pPr>
        <w:ind w:firstLine="560"/>
        <w:rPr>
          <w:rFonts w:hint="eastAsia" w:eastAsia="仿宋_GB2312"/>
          <w:sz w:val="28"/>
          <w:szCs w:val="28"/>
        </w:rPr>
      </w:pPr>
      <w:r>
        <w:rPr>
          <w:rFonts w:hint="eastAsia" w:eastAsia="仿宋_GB2312"/>
          <w:sz w:val="28"/>
          <w:szCs w:val="28"/>
        </w:rPr>
        <w:t>每年9月初完成评审工作。</w:t>
      </w:r>
    </w:p>
    <w:bookmarkEnd w:id="1"/>
    <w:p w14:paraId="21CFBE71">
      <w:pPr>
        <w:pStyle w:val="3"/>
        <w:rPr>
          <w:rFonts w:hint="eastAsia"/>
          <w:szCs w:val="28"/>
        </w:rPr>
      </w:pPr>
      <w:r>
        <w:rPr>
          <w:rFonts w:hint="eastAsia"/>
          <w:szCs w:val="28"/>
        </w:rPr>
        <w:t xml:space="preserve">第二章 </w:t>
      </w:r>
      <w:r>
        <w:rPr>
          <w:szCs w:val="28"/>
        </w:rPr>
        <w:t xml:space="preserve"> </w:t>
      </w:r>
      <w:r>
        <w:rPr>
          <w:rFonts w:hint="eastAsia"/>
          <w:szCs w:val="28"/>
        </w:rPr>
        <w:t>评审组织</w:t>
      </w:r>
    </w:p>
    <w:p w14:paraId="78A743F6">
      <w:pPr>
        <w:ind w:firstLine="560"/>
        <w:rPr>
          <w:rFonts w:hint="eastAsia" w:eastAsia="仿宋_GB2312"/>
          <w:sz w:val="28"/>
          <w:szCs w:val="28"/>
        </w:rPr>
      </w:pPr>
      <w:r>
        <w:rPr>
          <w:rFonts w:hint="eastAsia" w:eastAsia="仿宋_GB2312"/>
          <w:b/>
          <w:sz w:val="28"/>
          <w:szCs w:val="28"/>
        </w:rPr>
        <w:t xml:space="preserve">第三条 </w:t>
      </w:r>
      <w:r>
        <w:rPr>
          <w:rFonts w:hint="eastAsia" w:eastAsia="仿宋_GB2312"/>
          <w:sz w:val="28"/>
          <w:szCs w:val="28"/>
        </w:rPr>
        <w:t>学院成立“信息工程学院研究生奖学金评审委员会”（以下简称“学院奖学金评委会”），负责学院研究生各类奖学金评审条件和细则的制定、奖学金申请及申报材料的审核与评审。</w:t>
      </w:r>
    </w:p>
    <w:p w14:paraId="5A6A8A1C">
      <w:pPr>
        <w:ind w:firstLine="560"/>
        <w:rPr>
          <w:rFonts w:hint="eastAsia" w:eastAsia="仿宋_GB2312"/>
          <w:sz w:val="28"/>
          <w:szCs w:val="28"/>
        </w:rPr>
      </w:pPr>
      <w:r>
        <w:rPr>
          <w:rFonts w:hint="eastAsia" w:eastAsia="仿宋_GB2312"/>
          <w:sz w:val="28"/>
          <w:szCs w:val="28"/>
        </w:rPr>
        <w:t>具体人员组成如下</w:t>
      </w:r>
      <w:r>
        <w:rPr>
          <w:rFonts w:hint="eastAsia" w:eastAsia="仿宋_GB2312"/>
          <w:sz w:val="28"/>
          <w:szCs w:val="28"/>
          <w:lang w:eastAsia="zh-CN"/>
        </w:rPr>
        <w:t>：</w:t>
      </w:r>
    </w:p>
    <w:p w14:paraId="7BC39461">
      <w:pPr>
        <w:ind w:firstLine="560"/>
        <w:rPr>
          <w:rFonts w:hint="eastAsia" w:eastAsia="仿宋_GB2312"/>
          <w:sz w:val="28"/>
          <w:szCs w:val="28"/>
        </w:rPr>
      </w:pPr>
      <w:r>
        <w:rPr>
          <w:rFonts w:hint="eastAsia" w:eastAsia="仿宋_GB2312"/>
          <w:sz w:val="28"/>
          <w:szCs w:val="28"/>
        </w:rPr>
        <w:t>主  任：学院主要领导</w:t>
      </w:r>
    </w:p>
    <w:p w14:paraId="6841F1CB">
      <w:pPr>
        <w:ind w:firstLine="560"/>
        <w:rPr>
          <w:rFonts w:hint="eastAsia" w:eastAsia="仿宋_GB2312"/>
          <w:sz w:val="28"/>
          <w:szCs w:val="28"/>
        </w:rPr>
      </w:pPr>
      <w:r>
        <w:rPr>
          <w:rFonts w:hint="eastAsia" w:eastAsia="仿宋_GB2312"/>
          <w:sz w:val="28"/>
          <w:szCs w:val="28"/>
        </w:rPr>
        <w:t>委  员：分管研究生工作的副院长、学院党委副书记、研究生工作办公室主任、研究生辅导员、研究生导师代表、研究生代表</w:t>
      </w:r>
      <w:r>
        <w:rPr>
          <w:rFonts w:hint="eastAsia" w:eastAsia="仿宋_GB2312"/>
          <w:sz w:val="28"/>
          <w:szCs w:val="28"/>
          <w:lang w:eastAsia="zh-CN"/>
        </w:rPr>
        <w:t>。</w:t>
      </w:r>
      <w:r>
        <w:rPr>
          <w:rFonts w:hint="eastAsia" w:eastAsia="仿宋_GB2312"/>
          <w:sz w:val="28"/>
          <w:szCs w:val="28"/>
        </w:rPr>
        <w:t>其中，研究生导师代表每年由学院分学位委员会推荐，研究生代表每年由学院研究生会推荐。</w:t>
      </w:r>
    </w:p>
    <w:p w14:paraId="72A46FE3">
      <w:pPr>
        <w:ind w:firstLine="560"/>
        <w:rPr>
          <w:rFonts w:eastAsia="仿宋_GB2312"/>
          <w:sz w:val="28"/>
          <w:szCs w:val="28"/>
        </w:rPr>
      </w:pPr>
      <w:r>
        <w:rPr>
          <w:rFonts w:hint="eastAsia" w:eastAsia="仿宋_GB2312"/>
          <w:b/>
          <w:sz w:val="28"/>
          <w:szCs w:val="28"/>
        </w:rPr>
        <w:t xml:space="preserve">第四条 </w:t>
      </w:r>
      <w:r>
        <w:rPr>
          <w:rFonts w:hint="eastAsia" w:eastAsia="仿宋_GB2312"/>
          <w:sz w:val="28"/>
          <w:szCs w:val="28"/>
        </w:rPr>
        <w:t>各研究生班级成立“班级研究生奖学金评审小组”（以下简称班级评审小组）。班级评审小组由班长、团支书、三名班内民意代表成员组成，在年级辅导员指导下开展研究生综合素质测评及各类奖学金评审工作。</w:t>
      </w:r>
    </w:p>
    <w:p w14:paraId="4138B1D7">
      <w:pPr>
        <w:ind w:firstLine="560"/>
        <w:rPr>
          <w:rFonts w:hint="eastAsia" w:eastAsia="仿宋_GB2312"/>
          <w:sz w:val="28"/>
          <w:szCs w:val="28"/>
        </w:rPr>
      </w:pPr>
      <w:r>
        <w:rPr>
          <w:rFonts w:hint="eastAsia" w:eastAsia="仿宋_GB2312"/>
          <w:b/>
          <w:sz w:val="28"/>
          <w:szCs w:val="28"/>
        </w:rPr>
        <w:t xml:space="preserve">第五条 </w:t>
      </w:r>
      <w:r>
        <w:rPr>
          <w:rFonts w:hint="eastAsia" w:eastAsia="仿宋_GB2312"/>
          <w:sz w:val="28"/>
          <w:szCs w:val="28"/>
        </w:rPr>
        <w:t>学院奖学金评委会成员在履行评审工作职责时应遵循以下原则：</w:t>
      </w:r>
    </w:p>
    <w:p w14:paraId="7A4D82C2">
      <w:pPr>
        <w:ind w:firstLine="560"/>
        <w:rPr>
          <w:rFonts w:hint="eastAsia" w:eastAsia="仿宋_GB2312"/>
          <w:sz w:val="28"/>
          <w:szCs w:val="28"/>
        </w:rPr>
      </w:pPr>
      <w:r>
        <w:rPr>
          <w:rFonts w:hint="eastAsia" w:eastAsia="仿宋_GB2312"/>
          <w:sz w:val="28"/>
          <w:szCs w:val="28"/>
        </w:rPr>
        <w:t>（一）平等原则，即在评审过程中，积极听取其他委员的意见，平等协商提出评审意见；</w:t>
      </w:r>
    </w:p>
    <w:p w14:paraId="42AA6C08">
      <w:pPr>
        <w:ind w:firstLine="560"/>
        <w:rPr>
          <w:rFonts w:hint="eastAsia" w:eastAsia="仿宋_GB2312"/>
          <w:sz w:val="28"/>
          <w:szCs w:val="28"/>
        </w:rPr>
      </w:pPr>
      <w:r>
        <w:rPr>
          <w:rFonts w:hint="eastAsia" w:eastAsia="仿宋_GB2312"/>
          <w:sz w:val="28"/>
          <w:szCs w:val="28"/>
        </w:rPr>
        <w:t>（二）回避原则，即如存在与评审对象有亲属关系、直接经济利益关系或其他可能影响评审工作公平公正的情形时，应主动向学院奖学金评委会申请回避；</w:t>
      </w:r>
    </w:p>
    <w:p w14:paraId="712EB281">
      <w:pPr>
        <w:ind w:firstLine="560"/>
        <w:rPr>
          <w:rFonts w:hint="eastAsia" w:eastAsia="仿宋_GB2312"/>
          <w:sz w:val="28"/>
          <w:szCs w:val="28"/>
        </w:rPr>
      </w:pPr>
      <w:r>
        <w:rPr>
          <w:rFonts w:hint="eastAsia" w:eastAsia="仿宋_GB2312"/>
          <w:sz w:val="28"/>
          <w:szCs w:val="28"/>
        </w:rPr>
        <w:t>（三）公正原则，即不得利用评审委员的特殊身份和影响力，单独或与有关人员共同为评审对象提供获奖便利；</w:t>
      </w:r>
    </w:p>
    <w:p w14:paraId="41B61C6D">
      <w:pPr>
        <w:ind w:firstLine="560"/>
        <w:rPr>
          <w:rFonts w:hint="eastAsia" w:eastAsia="仿宋_GB2312"/>
          <w:sz w:val="28"/>
          <w:szCs w:val="28"/>
        </w:rPr>
      </w:pPr>
      <w:r>
        <w:rPr>
          <w:rFonts w:hint="eastAsia" w:eastAsia="仿宋_GB2312"/>
          <w:sz w:val="28"/>
          <w:szCs w:val="28"/>
        </w:rPr>
        <w:t>（四）保密原则，即不得擅自披露评审结果及其他评审委员的意见等相关保密信息。</w:t>
      </w:r>
    </w:p>
    <w:bookmarkEnd w:id="2"/>
    <w:p w14:paraId="5BF0ACAA">
      <w:pPr>
        <w:pStyle w:val="3"/>
        <w:rPr>
          <w:szCs w:val="28"/>
        </w:rPr>
      </w:pPr>
      <w:r>
        <w:rPr>
          <w:rFonts w:hint="eastAsia"/>
          <w:szCs w:val="28"/>
        </w:rPr>
        <w:t xml:space="preserve">第三章 </w:t>
      </w:r>
      <w:r>
        <w:rPr>
          <w:szCs w:val="28"/>
        </w:rPr>
        <w:t xml:space="preserve"> </w:t>
      </w:r>
      <w:r>
        <w:rPr>
          <w:rFonts w:hint="eastAsia"/>
          <w:szCs w:val="28"/>
          <w:lang w:val="en-US" w:eastAsia="zh-CN"/>
        </w:rPr>
        <w:t>研究生国家奖学金评审办法</w:t>
      </w:r>
    </w:p>
    <w:p w14:paraId="1C868F46">
      <w:pPr>
        <w:pStyle w:val="10"/>
        <w:spacing w:before="84"/>
        <w:ind w:left="0" w:firstLine="560"/>
        <w:rPr>
          <w:rFonts w:hint="eastAsia"/>
          <w:spacing w:val="-2"/>
          <w:sz w:val="28"/>
          <w:szCs w:val="28"/>
        </w:rPr>
      </w:pPr>
      <w:r>
        <w:rPr>
          <w:rFonts w:hint="eastAsia" w:ascii="Times New Roman" w:hAnsi="Times New Roman" w:eastAsia="仿宋_GB2312" w:cs="Times New Roman"/>
          <w:b/>
          <w:sz w:val="28"/>
          <w:szCs w:val="28"/>
        </w:rPr>
        <w:t>第六条</w:t>
      </w:r>
      <w:r>
        <w:rPr>
          <w:rFonts w:hint="eastAsia"/>
          <w:spacing w:val="-2"/>
          <w:sz w:val="28"/>
          <w:szCs w:val="28"/>
        </w:rPr>
        <w:t xml:space="preserve"> </w:t>
      </w:r>
      <w:r>
        <w:rPr>
          <w:rFonts w:hint="eastAsia" w:ascii="仿宋_GB2312" w:hAnsi="仿宋_GB2312" w:eastAsia="仿宋_GB2312" w:cs="仿宋_GB2312"/>
          <w:spacing w:val="-2"/>
          <w:sz w:val="28"/>
          <w:szCs w:val="28"/>
        </w:rPr>
        <w:t>评审对象</w:t>
      </w:r>
    </w:p>
    <w:p w14:paraId="6A3C951D">
      <w:pPr>
        <w:pStyle w:val="10"/>
        <w:spacing w:before="84"/>
        <w:ind w:left="0" w:firstLine="552"/>
        <w:rPr>
          <w:rFonts w:hint="eastAsia" w:ascii="Times New Roman" w:hAnsi="Times New Roman" w:eastAsia="仿宋_GB2312" w:cs="Times New Roman"/>
          <w:sz w:val="28"/>
          <w:szCs w:val="28"/>
        </w:rPr>
      </w:pPr>
      <w:r>
        <w:rPr>
          <w:rFonts w:hint="eastAsia" w:ascii="仿宋_GB2312" w:hAnsi="仿宋_GB2312" w:eastAsia="仿宋_GB2312" w:cs="仿宋_GB2312"/>
          <w:spacing w:val="-2"/>
          <w:sz w:val="28"/>
          <w:szCs w:val="28"/>
        </w:rPr>
        <w:t>（一）参评研究生国家奖学金，应具备以下</w:t>
      </w:r>
      <w:r>
        <w:rPr>
          <w:rFonts w:hint="eastAsia" w:ascii="仿宋_GB2312" w:hAnsi="仿宋_GB2312" w:eastAsia="仿宋_GB2312" w:cs="仿宋_GB2312"/>
          <w:sz w:val="28"/>
          <w:szCs w:val="28"/>
        </w:rPr>
        <w:t>基本条件：</w:t>
      </w:r>
    </w:p>
    <w:p w14:paraId="0DC14943">
      <w:pPr>
        <w:pStyle w:val="10"/>
        <w:spacing w:before="84"/>
        <w:ind w:left="0" w:firstLine="560"/>
        <w:rPr>
          <w:rFonts w:hint="eastAsia" w:ascii="Times New Roman" w:hAnsi="Times New Roman" w:eastAsia="仿宋_GB2312"/>
          <w:sz w:val="28"/>
          <w:szCs w:val="28"/>
        </w:rPr>
      </w:pPr>
      <w:r>
        <w:rPr>
          <w:rFonts w:hint="eastAsia" w:ascii="Times New Roman" w:hAnsi="Times New Roman" w:eastAsia="仿宋_GB2312"/>
          <w:sz w:val="28"/>
          <w:szCs w:val="28"/>
        </w:rPr>
        <w:t>1.具有中华人民共和国国籍;</w:t>
      </w:r>
    </w:p>
    <w:p w14:paraId="5D91B9BB">
      <w:pPr>
        <w:pStyle w:val="10"/>
        <w:ind w:left="0" w:firstLine="560"/>
        <w:rPr>
          <w:rFonts w:hint="eastAsia" w:ascii="Times New Roman" w:hAnsi="Times New Roman" w:eastAsia="仿宋_GB2312"/>
          <w:sz w:val="28"/>
          <w:szCs w:val="28"/>
        </w:rPr>
      </w:pPr>
      <w:r>
        <w:rPr>
          <w:rFonts w:hint="eastAsia" w:ascii="Times New Roman" w:hAnsi="Times New Roman" w:eastAsia="仿宋_GB2312"/>
          <w:sz w:val="28"/>
          <w:szCs w:val="28"/>
        </w:rPr>
        <w:t>2.热爱社会主义祖国，拥护中国共产党的领导;</w:t>
      </w:r>
    </w:p>
    <w:p w14:paraId="201D30CB">
      <w:pPr>
        <w:pStyle w:val="10"/>
        <w:ind w:left="0" w:firstLine="560"/>
        <w:rPr>
          <w:rFonts w:hint="eastAsia" w:ascii="Times New Roman" w:hAnsi="Times New Roman" w:eastAsia="仿宋_GB2312"/>
          <w:sz w:val="28"/>
          <w:szCs w:val="28"/>
        </w:rPr>
      </w:pPr>
      <w:r>
        <w:rPr>
          <w:rFonts w:hint="eastAsia" w:ascii="Times New Roman" w:hAnsi="Times New Roman" w:eastAsia="仿宋_GB2312"/>
          <w:sz w:val="28"/>
          <w:szCs w:val="28"/>
        </w:rPr>
        <w:t>3.遵守宪法和法律，遵守学校规章制度;</w:t>
      </w:r>
    </w:p>
    <w:p w14:paraId="69C760E5">
      <w:pPr>
        <w:pStyle w:val="10"/>
        <w:ind w:left="0" w:firstLine="560"/>
        <w:rPr>
          <w:rFonts w:hint="eastAsia" w:ascii="Times New Roman" w:hAnsi="Times New Roman" w:eastAsia="仿宋_GB2312"/>
          <w:sz w:val="28"/>
          <w:szCs w:val="28"/>
        </w:rPr>
      </w:pPr>
      <w:r>
        <w:rPr>
          <w:rFonts w:hint="eastAsia" w:ascii="Times New Roman" w:hAnsi="Times New Roman" w:eastAsia="仿宋_GB2312"/>
          <w:sz w:val="28"/>
          <w:szCs w:val="28"/>
        </w:rPr>
        <w:t>4.诚实守信，道德品质优良;</w:t>
      </w:r>
    </w:p>
    <w:p w14:paraId="72B2DF9D">
      <w:pPr>
        <w:pStyle w:val="10"/>
        <w:ind w:left="0" w:firstLine="560"/>
        <w:rPr>
          <w:rFonts w:hint="eastAsia" w:ascii="Times New Roman" w:hAnsi="Times New Roman" w:eastAsia="仿宋_GB2312"/>
          <w:sz w:val="28"/>
          <w:szCs w:val="28"/>
        </w:rPr>
      </w:pPr>
      <w:r>
        <w:rPr>
          <w:rFonts w:hint="eastAsia" w:ascii="Times New Roman" w:hAnsi="Times New Roman" w:eastAsia="仿宋_GB2312"/>
          <w:sz w:val="28"/>
          <w:szCs w:val="28"/>
        </w:rPr>
        <w:t>5.学习成绩优异，科研能力显著，发展潜力突出。</w:t>
      </w:r>
    </w:p>
    <w:p w14:paraId="4F32E51D">
      <w:pPr>
        <w:pStyle w:val="10"/>
        <w:spacing w:before="0"/>
        <w:ind w:left="0" w:firstLine="56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（二）出现以下任一情况，不具备当年研究生国家奖学金申请条件：</w:t>
      </w:r>
    </w:p>
    <w:p w14:paraId="119F0623">
      <w:pPr>
        <w:pStyle w:val="10"/>
        <w:spacing w:before="0"/>
        <w:ind w:left="0" w:firstLine="560"/>
        <w:rPr>
          <w:rFonts w:ascii="Times New Roman" w:hAnsi="Times New Roman" w:eastAsia="仿宋_GB2312"/>
          <w:sz w:val="28"/>
          <w:szCs w:val="28"/>
        </w:rPr>
      </w:pPr>
      <w:r>
        <w:rPr>
          <w:rFonts w:ascii="Times New Roman" w:hAnsi="Times New Roman" w:eastAsia="仿宋_GB2312"/>
          <w:sz w:val="28"/>
          <w:szCs w:val="28"/>
        </w:rPr>
        <w:t>1.受到纪律处分；</w:t>
      </w:r>
    </w:p>
    <w:p w14:paraId="33232A98">
      <w:pPr>
        <w:pStyle w:val="10"/>
        <w:spacing w:before="0"/>
        <w:ind w:left="0" w:firstLine="560"/>
        <w:rPr>
          <w:rFonts w:ascii="Times New Roman" w:hAnsi="Times New Roman" w:eastAsia="仿宋_GB2312"/>
          <w:sz w:val="28"/>
          <w:szCs w:val="28"/>
        </w:rPr>
      </w:pPr>
      <w:r>
        <w:rPr>
          <w:rFonts w:ascii="Times New Roman" w:hAnsi="Times New Roman" w:eastAsia="仿宋_GB2312"/>
          <w:sz w:val="28"/>
          <w:szCs w:val="28"/>
        </w:rPr>
        <w:t>2.有抄袭剽窃、弄虚作假等学术不端行为经查证属实；</w:t>
      </w:r>
    </w:p>
    <w:p w14:paraId="1C9AB3B8">
      <w:pPr>
        <w:pStyle w:val="10"/>
        <w:spacing w:before="0"/>
        <w:ind w:left="0" w:firstLine="560"/>
        <w:rPr>
          <w:rFonts w:ascii="Times New Roman" w:hAnsi="Times New Roman" w:eastAsia="仿宋_GB2312"/>
          <w:sz w:val="28"/>
          <w:szCs w:val="28"/>
        </w:rPr>
      </w:pPr>
      <w:r>
        <w:rPr>
          <w:rFonts w:ascii="Times New Roman" w:hAnsi="Times New Roman" w:eastAsia="仿宋_GB2312"/>
          <w:sz w:val="28"/>
          <w:szCs w:val="28"/>
        </w:rPr>
        <w:t>3.学籍状态处于休学、保留学籍状态；</w:t>
      </w:r>
    </w:p>
    <w:p w14:paraId="4FD193B1">
      <w:pPr>
        <w:pStyle w:val="10"/>
        <w:spacing w:before="0"/>
        <w:ind w:left="0" w:firstLine="560"/>
        <w:rPr>
          <w:rFonts w:ascii="Times New Roman" w:hAnsi="Times New Roman" w:eastAsia="仿宋_GB2312"/>
          <w:sz w:val="28"/>
          <w:szCs w:val="28"/>
        </w:rPr>
      </w:pPr>
      <w:r>
        <w:rPr>
          <w:rFonts w:ascii="Times New Roman" w:hAnsi="Times New Roman" w:eastAsia="仿宋_GB2312"/>
          <w:sz w:val="28"/>
          <w:szCs w:val="28"/>
        </w:rPr>
        <w:t>4.在科研工作中，造成重大事故及损失；</w:t>
      </w:r>
    </w:p>
    <w:p w14:paraId="22CF0ADF">
      <w:pPr>
        <w:pStyle w:val="10"/>
        <w:spacing w:before="0"/>
        <w:ind w:left="0" w:firstLine="560"/>
        <w:rPr>
          <w:rFonts w:ascii="Times New Roman" w:hAnsi="Times New Roman" w:eastAsia="仿宋_GB2312"/>
          <w:sz w:val="28"/>
          <w:szCs w:val="28"/>
        </w:rPr>
      </w:pPr>
      <w:r>
        <w:rPr>
          <w:rFonts w:ascii="Times New Roman" w:hAnsi="Times New Roman" w:eastAsia="仿宋_GB2312"/>
          <w:sz w:val="28"/>
          <w:szCs w:val="28"/>
        </w:rPr>
        <w:t>5.参加非法组织及活动；</w:t>
      </w:r>
    </w:p>
    <w:p w14:paraId="637B8644">
      <w:pPr>
        <w:pStyle w:val="10"/>
        <w:spacing w:before="0"/>
        <w:ind w:left="0" w:firstLine="560"/>
        <w:rPr>
          <w:rFonts w:ascii="Times New Roman" w:hAnsi="Times New Roman" w:eastAsia="仿宋_GB2312"/>
          <w:sz w:val="28"/>
          <w:szCs w:val="28"/>
        </w:rPr>
      </w:pPr>
      <w:r>
        <w:rPr>
          <w:rFonts w:ascii="Times New Roman" w:hAnsi="Times New Roman" w:eastAsia="仿宋_GB2312"/>
          <w:sz w:val="28"/>
          <w:szCs w:val="28"/>
        </w:rPr>
        <w:t>6.有课程考核不及格记录或未按照培养计划要求执行；</w:t>
      </w:r>
    </w:p>
    <w:p w14:paraId="18EF0C42">
      <w:pPr>
        <w:pStyle w:val="10"/>
        <w:spacing w:before="0"/>
        <w:ind w:left="0" w:firstLine="560"/>
        <w:rPr>
          <w:rFonts w:ascii="Times New Roman" w:hAnsi="Times New Roman" w:eastAsia="仿宋_GB2312"/>
          <w:sz w:val="28"/>
          <w:szCs w:val="28"/>
        </w:rPr>
      </w:pPr>
      <w:r>
        <w:rPr>
          <w:rFonts w:ascii="Times New Roman" w:hAnsi="Times New Roman" w:eastAsia="仿宋_GB2312"/>
          <w:sz w:val="28"/>
          <w:szCs w:val="28"/>
        </w:rPr>
        <w:t>7.未按学校规定注册而又无正当事由；</w:t>
      </w:r>
    </w:p>
    <w:p w14:paraId="0BB5B44A">
      <w:pPr>
        <w:pStyle w:val="10"/>
        <w:spacing w:before="0"/>
        <w:ind w:left="0" w:firstLine="560"/>
        <w:rPr>
          <w:rFonts w:ascii="Times New Roman" w:hAnsi="Times New Roman" w:eastAsia="仿宋_GB2312"/>
          <w:sz w:val="28"/>
          <w:szCs w:val="28"/>
        </w:rPr>
      </w:pPr>
      <w:r>
        <w:rPr>
          <w:rFonts w:ascii="Times New Roman" w:hAnsi="Times New Roman" w:eastAsia="仿宋_GB2312"/>
          <w:sz w:val="28"/>
          <w:szCs w:val="28"/>
        </w:rPr>
        <w:t>8.有协议约定不参评者；</w:t>
      </w:r>
    </w:p>
    <w:p w14:paraId="1AED3A5B">
      <w:pPr>
        <w:pStyle w:val="10"/>
        <w:ind w:left="0" w:firstLine="560"/>
        <w:rPr>
          <w:rFonts w:hint="eastAsia" w:eastAsia="仿宋_GB2312"/>
          <w:sz w:val="28"/>
          <w:szCs w:val="28"/>
        </w:rPr>
      </w:pPr>
      <w:r>
        <w:rPr>
          <w:rFonts w:ascii="Times New Roman" w:hAnsi="Times New Roman" w:eastAsia="仿宋_GB2312" w:cs="Times New Roman"/>
          <w:sz w:val="28"/>
          <w:szCs w:val="28"/>
        </w:rPr>
        <w:t>9</w:t>
      </w:r>
      <w:r>
        <w:rPr>
          <w:rFonts w:eastAsia="仿宋_GB2312"/>
          <w:sz w:val="28"/>
          <w:szCs w:val="28"/>
        </w:rPr>
        <w:t>.有其他有损学校声誉的行为。</w:t>
      </w:r>
    </w:p>
    <w:p w14:paraId="2B7E6776">
      <w:pPr>
        <w:ind w:firstLine="560"/>
        <w:rPr>
          <w:rFonts w:hint="eastAsia" w:ascii="仿宋_GB2312" w:hAnsi="仿宋_GB2312" w:eastAsia="仿宋_GB2312" w:cs="仿宋_GB2312"/>
          <w:b w:val="0"/>
          <w:bCs/>
          <w:sz w:val="28"/>
          <w:szCs w:val="28"/>
        </w:rPr>
      </w:pPr>
      <w:r>
        <w:rPr>
          <w:rFonts w:hint="eastAsia" w:eastAsia="仿宋_GB2312"/>
          <w:b/>
          <w:sz w:val="28"/>
          <w:szCs w:val="28"/>
        </w:rPr>
        <w:t>第七条</w:t>
      </w:r>
      <w:r>
        <w:rPr>
          <w:rFonts w:hint="eastAsia" w:eastAsia="仿宋_GB2312"/>
          <w:b w:val="0"/>
          <w:bCs/>
          <w:sz w:val="28"/>
          <w:szCs w:val="28"/>
        </w:rPr>
        <w:t xml:space="preserve"> 推免研究生</w:t>
      </w:r>
    </w:p>
    <w:p w14:paraId="63562E1B">
      <w:pPr>
        <w:ind w:firstLine="560"/>
        <w:rPr>
          <w:rFonts w:hint="eastAsia" w:eastAsia="仿宋_GB2312"/>
          <w:sz w:val="28"/>
          <w:szCs w:val="28"/>
        </w:rPr>
      </w:pPr>
      <w:r>
        <w:rPr>
          <w:rFonts w:hint="eastAsia" w:eastAsia="仿宋_GB2312"/>
          <w:sz w:val="28"/>
          <w:szCs w:val="28"/>
        </w:rPr>
        <w:t>1.硕博连读生（从已完成硕士课程的在学硕士研究生中选拔录取的博士研究生）在注册为博士研究生之前，按照硕士研究生身份参与奖学金评定；注册为博士研究生后，按照博士研究生参与奖学金评定。</w:t>
      </w:r>
    </w:p>
    <w:p w14:paraId="1E40E3B0">
      <w:pPr>
        <w:ind w:firstLine="560" w:firstLineChars="0"/>
        <w:rPr>
          <w:rFonts w:hint="eastAsia" w:eastAsia="仿宋_GB2312"/>
          <w:sz w:val="28"/>
          <w:szCs w:val="28"/>
        </w:rPr>
      </w:pPr>
      <w:r>
        <w:rPr>
          <w:rFonts w:hint="eastAsia" w:eastAsia="仿宋_GB2312"/>
          <w:sz w:val="28"/>
          <w:szCs w:val="28"/>
        </w:rPr>
        <w:t>2.直接攻博生（从具有推荐免试资格的优秀应届本科毕业生中直接录取的博士研究生）根据当年所修课程的层次阶段确定身份参与研究生国家奖学金的评定。在选修硕士课程阶段按照硕士研究生身份参与评定，进入选修博士研究生课程阶段按照博士研究生身份参与评定。对于特别优秀，并且达到博士研究生国家奖学金评审条件的直博生，可直接以博士研究生的身份参评国家奖学金。</w:t>
      </w:r>
    </w:p>
    <w:p w14:paraId="357B9577">
      <w:pPr>
        <w:ind w:firstLine="560"/>
        <w:rPr>
          <w:rFonts w:hint="eastAsia" w:eastAsia="仿宋_GB2312"/>
          <w:sz w:val="28"/>
          <w:szCs w:val="28"/>
        </w:rPr>
      </w:pPr>
      <w:r>
        <w:rPr>
          <w:rFonts w:hint="eastAsia" w:eastAsia="仿宋_GB2312"/>
          <w:b/>
          <w:bCs/>
          <w:sz w:val="28"/>
          <w:szCs w:val="28"/>
        </w:rPr>
        <w:t>第八条</w:t>
      </w:r>
      <w:r>
        <w:rPr>
          <w:rFonts w:hint="eastAsia" w:eastAsia="仿宋_GB2312"/>
          <w:sz w:val="28"/>
          <w:szCs w:val="28"/>
        </w:rPr>
        <w:t xml:space="preserve"> 在学制期限内，因国家和单位公派出国留学或校际交流在境外学习的研究生，仍具备研究生国家奖学金参评资格；由于因私出国留学、疾病、创业等原因未在校学习的研究生，期间原则上不具备研究生国家奖学金参评资格。</w:t>
      </w:r>
    </w:p>
    <w:p w14:paraId="21BA4D8B">
      <w:pPr>
        <w:pStyle w:val="185"/>
        <w:spacing w:before="0" w:after="0"/>
        <w:ind w:firstLine="560"/>
        <w:outlineLvl w:val="9"/>
        <w:rPr>
          <w:rFonts w:hint="eastAsia" w:ascii="仿宋_GB2312" w:hAnsi="仿宋_GB2312" w:eastAsia="仿宋_GB2312" w:cs="仿宋_GB2312"/>
          <w:b w:val="0"/>
          <w:bCs/>
          <w:sz w:val="28"/>
          <w:szCs w:val="28"/>
        </w:rPr>
      </w:pPr>
      <w:r>
        <w:rPr>
          <w:rFonts w:hint="eastAsia" w:ascii="仿宋_GB2312" w:hAnsi="仿宋_GB2312" w:eastAsia="仿宋_GB2312" w:cs="仿宋_GB2312"/>
          <w:bCs w:val="0"/>
          <w:sz w:val="28"/>
          <w:szCs w:val="28"/>
          <w:lang w:val="en-US" w:eastAsia="zh-CN"/>
        </w:rPr>
        <w:t>第九条</w:t>
      </w:r>
      <w:r>
        <w:rPr>
          <w:rFonts w:hint="eastAsia" w:ascii="仿宋_GB2312" w:hAnsi="仿宋_GB2312" w:eastAsia="仿宋_GB2312" w:cs="仿宋_GB2312"/>
          <w:b w:val="0"/>
          <w:bCs/>
          <w:sz w:val="28"/>
          <w:szCs w:val="28"/>
          <w:lang w:val="en-US" w:eastAsia="zh-CN"/>
        </w:rPr>
        <w:t xml:space="preserve"> </w:t>
      </w:r>
      <w:r>
        <w:rPr>
          <w:rFonts w:hint="eastAsia" w:ascii="仿宋_GB2312" w:hAnsi="仿宋_GB2312" w:eastAsia="仿宋_GB2312" w:cs="仿宋_GB2312"/>
          <w:b w:val="0"/>
          <w:bCs/>
          <w:sz w:val="28"/>
          <w:szCs w:val="28"/>
        </w:rPr>
        <w:t>奖励标准</w:t>
      </w:r>
    </w:p>
    <w:p w14:paraId="027E4747">
      <w:pPr>
        <w:ind w:firstLine="560"/>
        <w:rPr>
          <w:rFonts w:hint="eastAsia" w:eastAsia="仿宋_GB2312"/>
          <w:sz w:val="28"/>
          <w:szCs w:val="28"/>
        </w:rPr>
      </w:pPr>
      <w:r>
        <w:rPr>
          <w:rFonts w:hint="eastAsia" w:eastAsia="仿宋_GB2312"/>
          <w:sz w:val="28"/>
          <w:szCs w:val="28"/>
        </w:rPr>
        <w:t>博士研究生国家奖学金奖励标准为3万元/生</w:t>
      </w:r>
      <w:r>
        <w:rPr>
          <w:rFonts w:hint="eastAsia" w:ascii="宋体" w:hAnsi="宋体" w:cs="宋体"/>
          <w:sz w:val="28"/>
          <w:szCs w:val="28"/>
        </w:rPr>
        <w:t>•</w:t>
      </w:r>
      <w:r>
        <w:rPr>
          <w:rFonts w:hint="eastAsia" w:eastAsia="仿宋_GB2312"/>
          <w:sz w:val="28"/>
          <w:szCs w:val="28"/>
        </w:rPr>
        <w:t>年；硕士研究生国家奖学金奖励标准为2万元/生</w:t>
      </w:r>
      <w:r>
        <w:rPr>
          <w:rFonts w:hint="eastAsia" w:ascii="宋体" w:hAnsi="宋体" w:cs="宋体"/>
          <w:sz w:val="28"/>
          <w:szCs w:val="28"/>
        </w:rPr>
        <w:t>•</w:t>
      </w:r>
      <w:r>
        <w:rPr>
          <w:rFonts w:hint="eastAsia" w:eastAsia="仿宋_GB2312"/>
          <w:sz w:val="28"/>
          <w:szCs w:val="28"/>
        </w:rPr>
        <w:t>年。</w:t>
      </w:r>
    </w:p>
    <w:p w14:paraId="469C719F">
      <w:pPr>
        <w:ind w:firstLine="560"/>
        <w:rPr>
          <w:rFonts w:eastAsia="仿宋_GB2312"/>
          <w:b/>
          <w:bCs/>
          <w:sz w:val="28"/>
          <w:szCs w:val="28"/>
        </w:rPr>
      </w:pPr>
      <w:r>
        <w:rPr>
          <w:rFonts w:hint="eastAsia" w:eastAsia="仿宋_GB2312"/>
          <w:b/>
          <w:bCs/>
          <w:sz w:val="28"/>
          <w:szCs w:val="28"/>
        </w:rPr>
        <w:t xml:space="preserve">第十条 </w:t>
      </w:r>
      <w:r>
        <w:rPr>
          <w:rFonts w:hint="eastAsia" w:eastAsia="仿宋_GB2312"/>
          <w:sz w:val="28"/>
          <w:szCs w:val="28"/>
        </w:rPr>
        <w:t>硕士研究生国家奖学金评审具体条件</w:t>
      </w:r>
    </w:p>
    <w:p w14:paraId="7DE05050">
      <w:pPr>
        <w:ind w:firstLine="560"/>
        <w:rPr>
          <w:rFonts w:eastAsia="仿宋_GB2312"/>
          <w:sz w:val="28"/>
          <w:szCs w:val="28"/>
        </w:rPr>
      </w:pPr>
      <w:r>
        <w:rPr>
          <w:rFonts w:hint="eastAsia" w:eastAsia="仿宋_GB2312"/>
          <w:sz w:val="28"/>
          <w:szCs w:val="28"/>
        </w:rPr>
        <w:t>（一）本学年综合测评德育评分为优秀。</w:t>
      </w:r>
    </w:p>
    <w:p w14:paraId="3D23484F">
      <w:pPr>
        <w:ind w:firstLine="560"/>
        <w:rPr>
          <w:rFonts w:hint="eastAsia" w:eastAsia="仿宋_GB2312"/>
          <w:sz w:val="28"/>
          <w:szCs w:val="28"/>
        </w:rPr>
      </w:pPr>
      <w:r>
        <w:rPr>
          <w:rFonts w:hint="eastAsia" w:eastAsia="仿宋_GB2312"/>
          <w:sz w:val="28"/>
          <w:szCs w:val="28"/>
          <w:highlight w:val="none"/>
        </w:rPr>
        <w:t>（二）课程成绩的基本要求为本学年度课程平均成绩80分以上，单科成绩不低于75分；</w:t>
      </w:r>
      <w:r>
        <w:rPr>
          <w:rFonts w:hint="eastAsia" w:eastAsia="仿宋_GB2312"/>
          <w:sz w:val="28"/>
          <w:szCs w:val="28"/>
        </w:rPr>
        <w:t>课程平均成绩计算方法为：∑（本学年度所修课程考核成绩×课程学分）/∑课程学分。二年级硕士生参评时课程成绩为硕士生一年级期间所有课程成绩，三年级硕士生参评时课程成绩为硕士生二年级期间所有课程成绩，若硕士生二年级无课程成绩可不计算，专业硕士研究生二年级校外专业实践考核分为优秀（90-100分）、良好（80-89分）、中（70-79分）、及格（60-69分）和不及格（60分以下）五个等级，纳入课程成绩一起计算。</w:t>
      </w:r>
    </w:p>
    <w:p w14:paraId="5F3660F0">
      <w:pPr>
        <w:ind w:firstLine="560"/>
        <w:rPr>
          <w:rFonts w:hint="eastAsia" w:eastAsia="仿宋_GB2312"/>
          <w:sz w:val="28"/>
          <w:szCs w:val="28"/>
        </w:rPr>
      </w:pPr>
      <w:r>
        <w:rPr>
          <w:rFonts w:hint="eastAsia" w:eastAsia="仿宋_GB2312"/>
          <w:sz w:val="28"/>
          <w:szCs w:val="28"/>
        </w:rPr>
        <w:t>（三）科研创新能力以导师评价为基础，必须与导师所在学科和在研项目相关，对本学年度公开发表论文的水平、学术期刊级别和种类；获得国家发明专利授权或受理；“中国研究生实践创新系列大赛”等</w:t>
      </w:r>
      <w:r>
        <w:rPr>
          <w:rFonts w:hint="eastAsia" w:eastAsia="仿宋_GB2312"/>
          <w:sz w:val="28"/>
          <w:szCs w:val="28"/>
          <w:highlight w:val="none"/>
        </w:rPr>
        <w:t>国家级科技竞赛的类别</w:t>
      </w:r>
      <w:r>
        <w:rPr>
          <w:rFonts w:hint="eastAsia" w:eastAsia="仿宋_GB2312"/>
          <w:sz w:val="28"/>
          <w:szCs w:val="28"/>
        </w:rPr>
        <w:t>、等级以及获奖人排序；科研创新成果转化等科研成果用加分的方式进行量化评价。</w:t>
      </w:r>
    </w:p>
    <w:p w14:paraId="6BFFE240">
      <w:pPr>
        <w:ind w:firstLine="560"/>
        <w:rPr>
          <w:rFonts w:hint="eastAsia" w:eastAsia="仿宋_GB2312"/>
          <w:sz w:val="28"/>
          <w:szCs w:val="28"/>
        </w:rPr>
      </w:pPr>
      <w:r>
        <w:rPr>
          <w:rFonts w:hint="eastAsia" w:eastAsia="仿宋_GB2312"/>
          <w:sz w:val="28"/>
          <w:szCs w:val="28"/>
        </w:rPr>
        <w:t>硕士研究生国家奖学金</w:t>
      </w:r>
      <w:r>
        <w:rPr>
          <w:rFonts w:hint="eastAsia" w:eastAsia="仿宋_GB2312"/>
          <w:sz w:val="28"/>
          <w:szCs w:val="28"/>
          <w:lang w:val="en-US" w:eastAsia="zh-CN"/>
        </w:rPr>
        <w:t>成果取得</w:t>
      </w:r>
      <w:r>
        <w:rPr>
          <w:rFonts w:hint="eastAsia" w:eastAsia="仿宋_GB2312"/>
          <w:sz w:val="28"/>
          <w:szCs w:val="28"/>
        </w:rPr>
        <w:t>时间认定：前一学年的9月1日至本学年度的8月31日，署名认定：申请硕士研究生国家奖学金的研究生本人为第一作者或通讯作者（共一作者只认定第一作者）或指导教师为第一作者，研究生本人为第二作者，公开发表第一署名单位为武汉理工大学或本校的联合培养基地，所有学术论文应见刊（含线上见刊）。</w:t>
      </w:r>
    </w:p>
    <w:p w14:paraId="7996FCA9">
      <w:pPr>
        <w:ind w:firstLine="560"/>
        <w:rPr>
          <w:rFonts w:hint="eastAsia" w:eastAsia="仿宋_GB2312"/>
          <w:sz w:val="28"/>
          <w:szCs w:val="28"/>
        </w:rPr>
      </w:pPr>
      <w:r>
        <w:rPr>
          <w:rFonts w:hint="eastAsia" w:eastAsia="仿宋_GB2312"/>
          <w:sz w:val="28"/>
          <w:szCs w:val="28"/>
        </w:rPr>
        <w:t>（四）对承担社会工作、参加社会实践、志愿服务及其他社会公益活动表现突出、获得表彰等情况，以加分方式进行量化评价。</w:t>
      </w:r>
    </w:p>
    <w:p w14:paraId="3F0EB9A5">
      <w:pPr>
        <w:ind w:firstLine="560"/>
        <w:rPr>
          <w:rFonts w:eastAsia="仿宋_GB2312"/>
          <w:sz w:val="28"/>
          <w:szCs w:val="28"/>
        </w:rPr>
      </w:pPr>
      <w:r>
        <w:rPr>
          <w:rFonts w:hint="eastAsia" w:eastAsia="仿宋_GB2312"/>
          <w:sz w:val="28"/>
          <w:szCs w:val="28"/>
        </w:rPr>
        <w:t>（五）信息学院</w:t>
      </w:r>
      <w:r>
        <w:rPr>
          <w:rFonts w:hint="eastAsia" w:eastAsia="仿宋_GB2312"/>
          <w:sz w:val="28"/>
          <w:szCs w:val="28"/>
          <w:lang w:val="en-US" w:eastAsia="zh-CN"/>
        </w:rPr>
        <w:t>硕士</w:t>
      </w:r>
      <w:r>
        <w:rPr>
          <w:rFonts w:hint="eastAsia" w:eastAsia="仿宋_GB2312"/>
          <w:sz w:val="28"/>
          <w:szCs w:val="28"/>
        </w:rPr>
        <w:t>研究生综合素质测评</w:t>
      </w:r>
      <w:r>
        <w:rPr>
          <w:rFonts w:hint="eastAsia" w:eastAsia="仿宋_GB2312"/>
          <w:sz w:val="28"/>
          <w:szCs w:val="28"/>
          <w:lang w:val="en-US" w:eastAsia="zh-CN"/>
        </w:rPr>
        <w:t>体系</w:t>
      </w:r>
      <w:r>
        <w:rPr>
          <w:rFonts w:hint="eastAsia" w:eastAsia="仿宋_GB2312"/>
          <w:sz w:val="28"/>
          <w:szCs w:val="28"/>
        </w:rPr>
        <w:t>针对研究生的</w:t>
      </w:r>
      <w:r>
        <w:rPr>
          <w:rFonts w:hint="eastAsia" w:ascii="仿宋_GB2312" w:hAnsi="仿宋_GB2312" w:eastAsia="仿宋_GB2312" w:cs="仿宋_GB2312"/>
          <w:b w:val="0"/>
          <w:sz w:val="28"/>
          <w:szCs w:val="28"/>
        </w:rPr>
        <w:t>德育、</w:t>
      </w:r>
      <w:r>
        <w:rPr>
          <w:rFonts w:hint="eastAsia" w:ascii="仿宋_GB2312" w:hAnsi="仿宋_GB2312" w:eastAsia="仿宋_GB2312" w:cs="仿宋_GB2312"/>
          <w:b w:val="0"/>
          <w:sz w:val="28"/>
          <w:szCs w:val="28"/>
          <w:lang w:val="en-US" w:eastAsia="zh-CN"/>
        </w:rPr>
        <w:t>智育、</w:t>
      </w:r>
      <w:r>
        <w:rPr>
          <w:rFonts w:hint="eastAsia" w:ascii="仿宋_GB2312" w:hAnsi="仿宋_GB2312" w:eastAsia="仿宋_GB2312" w:cs="仿宋_GB2312"/>
          <w:b w:val="0"/>
          <w:sz w:val="28"/>
          <w:szCs w:val="28"/>
        </w:rPr>
        <w:t>体育、美育、劳育</w:t>
      </w:r>
      <w:r>
        <w:rPr>
          <w:rFonts w:hint="eastAsia" w:ascii="仿宋_GB2312" w:hAnsi="仿宋_GB2312" w:eastAsia="仿宋_GB2312" w:cs="仿宋_GB2312"/>
          <w:b w:val="0"/>
          <w:sz w:val="28"/>
          <w:szCs w:val="28"/>
          <w:lang w:eastAsia="zh-CN"/>
        </w:rPr>
        <w:t>、</w:t>
      </w:r>
      <w:r>
        <w:rPr>
          <w:rFonts w:hint="eastAsia" w:ascii="仿宋_GB2312" w:hAnsi="仿宋_GB2312" w:eastAsia="仿宋_GB2312" w:cs="仿宋_GB2312"/>
          <w:b w:val="0"/>
          <w:sz w:val="28"/>
          <w:szCs w:val="28"/>
          <w:lang w:val="en-US" w:eastAsia="zh-CN"/>
        </w:rPr>
        <w:t>奖惩等方面</w:t>
      </w:r>
      <w:r>
        <w:rPr>
          <w:rFonts w:hint="eastAsia" w:eastAsia="仿宋_GB2312"/>
          <w:sz w:val="28"/>
          <w:szCs w:val="28"/>
        </w:rPr>
        <w:t>进行综合量化评价。</w:t>
      </w:r>
    </w:p>
    <w:p w14:paraId="1AEB01DF">
      <w:pPr>
        <w:ind w:firstLine="560"/>
        <w:rPr>
          <w:rFonts w:hint="eastAsia" w:eastAsia="仿宋_GB2312"/>
          <w:color w:val="FF0000"/>
          <w:sz w:val="28"/>
          <w:szCs w:val="28"/>
          <w:highlight w:val="none"/>
        </w:rPr>
      </w:pPr>
      <w:r>
        <w:rPr>
          <w:rFonts w:hint="eastAsia" w:eastAsia="仿宋_GB2312"/>
          <w:color w:val="auto"/>
          <w:sz w:val="28"/>
          <w:szCs w:val="28"/>
          <w:highlight w:val="none"/>
          <w:lang w:val="en-US" w:eastAsia="zh-CN"/>
        </w:rPr>
        <w:t>硕士</w:t>
      </w:r>
      <w:r>
        <w:rPr>
          <w:rFonts w:hint="eastAsia" w:eastAsia="仿宋_GB2312"/>
          <w:color w:val="auto"/>
          <w:sz w:val="28"/>
          <w:szCs w:val="28"/>
          <w:highlight w:val="none"/>
        </w:rPr>
        <w:t>研究生国家奖学金评审量化总分=</w:t>
      </w:r>
      <w:r>
        <w:rPr>
          <w:rFonts w:hint="eastAsia" w:eastAsia="仿宋_GB2312"/>
          <w:color w:val="auto"/>
          <w:sz w:val="28"/>
          <w:szCs w:val="28"/>
          <w:highlight w:val="none"/>
          <w:lang w:val="en-US" w:eastAsia="zh-CN"/>
        </w:rPr>
        <w:t>德育分</w:t>
      </w:r>
      <w:r>
        <w:rPr>
          <w:rFonts w:hint="eastAsia" w:eastAsia="仿宋_GB2312"/>
          <w:color w:val="auto"/>
          <w:sz w:val="28"/>
          <w:szCs w:val="28"/>
          <w:highlight w:val="none"/>
        </w:rPr>
        <w:t>+课业成绩×50%+学术科研表现</w:t>
      </w:r>
      <w:r>
        <w:rPr>
          <w:rFonts w:hint="eastAsia" w:eastAsia="仿宋_GB2312"/>
          <w:color w:val="auto"/>
          <w:sz w:val="28"/>
          <w:szCs w:val="28"/>
          <w:highlight w:val="none"/>
          <w:lang w:eastAsia="zh-CN"/>
        </w:rPr>
        <w:t>（</w:t>
      </w:r>
      <w:r>
        <w:rPr>
          <w:rFonts w:hint="eastAsia" w:eastAsia="仿宋_GB2312"/>
          <w:color w:val="auto"/>
          <w:sz w:val="28"/>
          <w:szCs w:val="28"/>
          <w:highlight w:val="none"/>
          <w:lang w:val="en-US" w:eastAsia="zh-CN"/>
        </w:rPr>
        <w:t>论文专利、</w:t>
      </w:r>
      <w:r>
        <w:rPr>
          <w:rFonts w:hint="eastAsia" w:eastAsia="仿宋_GB2312"/>
          <w:sz w:val="28"/>
          <w:szCs w:val="28"/>
          <w:highlight w:val="none"/>
        </w:rPr>
        <w:t>国家级</w:t>
      </w:r>
      <w:r>
        <w:rPr>
          <w:rFonts w:hint="eastAsia" w:eastAsia="仿宋_GB2312"/>
          <w:color w:val="auto"/>
          <w:sz w:val="28"/>
          <w:szCs w:val="28"/>
          <w:highlight w:val="none"/>
          <w:lang w:val="en-US" w:eastAsia="zh-CN"/>
        </w:rPr>
        <w:t>科技竞赛、学术活动、学术讲座</w:t>
      </w:r>
      <w:r>
        <w:rPr>
          <w:rFonts w:hint="eastAsia" w:eastAsia="仿宋_GB2312"/>
          <w:color w:val="auto"/>
          <w:sz w:val="28"/>
          <w:szCs w:val="28"/>
          <w:highlight w:val="none"/>
          <w:lang w:eastAsia="zh-CN"/>
        </w:rPr>
        <w:t>）</w:t>
      </w:r>
      <w:r>
        <w:rPr>
          <w:rFonts w:hint="eastAsia" w:eastAsia="仿宋_GB2312"/>
          <w:color w:val="auto"/>
          <w:sz w:val="28"/>
          <w:szCs w:val="28"/>
          <w:highlight w:val="none"/>
        </w:rPr>
        <w:t>×60%+</w:t>
      </w:r>
      <w:r>
        <w:rPr>
          <w:rFonts w:hint="eastAsia" w:eastAsia="仿宋_GB2312"/>
          <w:color w:val="auto"/>
          <w:sz w:val="28"/>
          <w:szCs w:val="28"/>
          <w:highlight w:val="none"/>
          <w:lang w:val="en-US" w:eastAsia="zh-CN"/>
        </w:rPr>
        <w:t>体育、美育、劳育总分</w:t>
      </w:r>
      <w:r>
        <w:rPr>
          <w:rFonts w:hint="eastAsia" w:eastAsia="仿宋_GB2312"/>
          <w:color w:val="auto"/>
          <w:sz w:val="28"/>
          <w:szCs w:val="28"/>
          <w:highlight w:val="none"/>
        </w:rPr>
        <w:t>×20%+</w:t>
      </w:r>
      <w:r>
        <w:rPr>
          <w:rFonts w:hint="eastAsia" w:eastAsia="仿宋_GB2312"/>
          <w:color w:val="auto"/>
          <w:sz w:val="28"/>
          <w:szCs w:val="28"/>
          <w:highlight w:val="none"/>
          <w:lang w:val="en-US" w:eastAsia="zh-CN"/>
        </w:rPr>
        <w:t>奖励分</w:t>
      </w:r>
      <w:r>
        <w:rPr>
          <w:rFonts w:hint="eastAsia" w:eastAsia="仿宋_GB2312"/>
          <w:color w:val="auto"/>
          <w:sz w:val="28"/>
          <w:szCs w:val="28"/>
          <w:highlight w:val="none"/>
        </w:rPr>
        <w:t>×20%</w:t>
      </w:r>
      <w:r>
        <w:rPr>
          <w:rFonts w:hint="eastAsia" w:eastAsia="仿宋_GB2312"/>
          <w:color w:val="auto"/>
          <w:sz w:val="28"/>
          <w:szCs w:val="28"/>
          <w:highlight w:val="none"/>
          <w:lang w:eastAsia="zh-CN"/>
        </w:rPr>
        <w:t>—</w:t>
      </w:r>
      <w:r>
        <w:rPr>
          <w:rFonts w:hint="eastAsia" w:eastAsia="仿宋_GB2312"/>
          <w:color w:val="auto"/>
          <w:sz w:val="28"/>
          <w:szCs w:val="28"/>
          <w:highlight w:val="none"/>
          <w:lang w:val="en-US" w:eastAsia="zh-CN"/>
        </w:rPr>
        <w:t>处罚分</w:t>
      </w:r>
      <w:r>
        <w:rPr>
          <w:rFonts w:hint="eastAsia" w:eastAsia="仿宋_GB2312"/>
          <w:color w:val="auto"/>
          <w:sz w:val="28"/>
          <w:szCs w:val="28"/>
          <w:highlight w:val="none"/>
        </w:rPr>
        <w:t>。</w:t>
      </w:r>
    </w:p>
    <w:p w14:paraId="3436C6AD">
      <w:pPr>
        <w:ind w:firstLine="560"/>
        <w:rPr>
          <w:rFonts w:hint="eastAsia" w:eastAsia="仿宋_GB2312"/>
          <w:sz w:val="28"/>
          <w:szCs w:val="28"/>
        </w:rPr>
      </w:pPr>
      <w:r>
        <w:rPr>
          <w:rFonts w:hint="eastAsia" w:eastAsia="仿宋_GB2312"/>
          <w:sz w:val="28"/>
          <w:szCs w:val="28"/>
        </w:rPr>
        <w:t>在符合基本条件的基础上，研究生导师须对研究生申请</w:t>
      </w:r>
      <w:r>
        <w:rPr>
          <w:rFonts w:hint="eastAsia" w:eastAsia="仿宋_GB2312"/>
          <w:sz w:val="28"/>
          <w:szCs w:val="28"/>
          <w:lang w:val="en-US" w:eastAsia="zh-CN"/>
        </w:rPr>
        <w:t>国家奖学金</w:t>
      </w:r>
      <w:r>
        <w:rPr>
          <w:rFonts w:hint="eastAsia" w:eastAsia="仿宋_GB2312"/>
          <w:sz w:val="28"/>
          <w:szCs w:val="28"/>
        </w:rPr>
        <w:t>的实际情况予以确认，导师同意方可申请，申请人以上述</w:t>
      </w:r>
      <w:r>
        <w:rPr>
          <w:rFonts w:hint="eastAsia" w:eastAsia="仿宋_GB2312"/>
          <w:sz w:val="28"/>
          <w:szCs w:val="28"/>
          <w:lang w:val="en-US" w:eastAsia="zh-CN"/>
        </w:rPr>
        <w:t>硕士</w:t>
      </w:r>
      <w:r>
        <w:rPr>
          <w:rFonts w:hint="eastAsia" w:eastAsia="仿宋_GB2312"/>
          <w:sz w:val="28"/>
          <w:szCs w:val="28"/>
        </w:rPr>
        <w:t>研究生国家奖学奖学金评审量化总分排名。同一成果同一评审年度内取最高分，不累计加分。如遇申请者分数相同情况，由</w:t>
      </w:r>
      <w:r>
        <w:rPr>
          <w:rFonts w:hint="eastAsia" w:eastAsia="仿宋_GB2312"/>
          <w:bCs/>
          <w:sz w:val="28"/>
          <w:szCs w:val="28"/>
        </w:rPr>
        <w:t>学院奖学金评委会</w:t>
      </w:r>
      <w:r>
        <w:rPr>
          <w:rFonts w:hint="eastAsia" w:eastAsia="仿宋_GB2312"/>
          <w:sz w:val="28"/>
          <w:szCs w:val="28"/>
        </w:rPr>
        <w:t>依次根据申请者学术科研成果分数、级别</w:t>
      </w:r>
      <w:r>
        <w:rPr>
          <w:rFonts w:hint="eastAsia" w:eastAsia="仿宋_GB2312"/>
          <w:sz w:val="28"/>
          <w:szCs w:val="28"/>
          <w:lang w:eastAsia="zh-CN"/>
        </w:rPr>
        <w:t>，</w:t>
      </w:r>
      <w:r>
        <w:rPr>
          <w:rFonts w:hint="eastAsia" w:eastAsia="仿宋_GB2312"/>
          <w:sz w:val="28"/>
          <w:szCs w:val="28"/>
        </w:rPr>
        <w:t>平时学习态度、课业成绩，参加公益活动、集体活动情况考虑排名。</w:t>
      </w:r>
    </w:p>
    <w:p w14:paraId="5933DC8E">
      <w:pPr>
        <w:ind w:firstLine="560"/>
        <w:rPr>
          <w:rFonts w:eastAsia="仿宋_GB2312"/>
          <w:sz w:val="28"/>
          <w:szCs w:val="28"/>
        </w:rPr>
      </w:pPr>
      <w:r>
        <w:rPr>
          <w:rFonts w:hint="eastAsia" w:eastAsia="仿宋_GB2312"/>
          <w:b/>
          <w:bCs/>
          <w:sz w:val="28"/>
          <w:szCs w:val="28"/>
        </w:rPr>
        <w:t>第十一条</w:t>
      </w:r>
      <w:r>
        <w:rPr>
          <w:rFonts w:hint="eastAsia" w:eastAsia="仿宋_GB2312"/>
          <w:sz w:val="28"/>
          <w:szCs w:val="28"/>
        </w:rPr>
        <w:t xml:space="preserve"> 博士研究生国家奖学金评审具体条件</w:t>
      </w:r>
    </w:p>
    <w:p w14:paraId="2933DB49">
      <w:pPr>
        <w:ind w:firstLine="560"/>
        <w:rPr>
          <w:rFonts w:hint="eastAsia" w:eastAsia="仿宋_GB2312"/>
          <w:sz w:val="28"/>
          <w:szCs w:val="28"/>
        </w:rPr>
      </w:pPr>
      <w:r>
        <w:rPr>
          <w:rFonts w:hint="eastAsia" w:eastAsia="仿宋_GB2312"/>
          <w:sz w:val="28"/>
          <w:szCs w:val="28"/>
        </w:rPr>
        <w:t>（一）本学年综合测评德育评分为优秀。</w:t>
      </w:r>
    </w:p>
    <w:p w14:paraId="72BACF0B">
      <w:pPr>
        <w:ind w:firstLine="560"/>
        <w:rPr>
          <w:rFonts w:eastAsia="仿宋_GB2312"/>
          <w:sz w:val="28"/>
          <w:szCs w:val="28"/>
        </w:rPr>
      </w:pPr>
      <w:r>
        <w:rPr>
          <w:rFonts w:hint="eastAsia" w:eastAsia="仿宋_GB2312"/>
          <w:sz w:val="28"/>
          <w:szCs w:val="28"/>
        </w:rPr>
        <w:t>（二）学习成绩的基本要求为本学年度单科课程成绩 75 分以上。</w:t>
      </w:r>
    </w:p>
    <w:p w14:paraId="35A63656">
      <w:pPr>
        <w:ind w:firstLine="560"/>
        <w:rPr>
          <w:rFonts w:hint="eastAsia" w:eastAsia="仿宋_GB2312"/>
          <w:sz w:val="28"/>
          <w:szCs w:val="28"/>
        </w:rPr>
      </w:pPr>
      <w:r>
        <w:rPr>
          <w:rFonts w:hint="eastAsia" w:eastAsia="仿宋_GB2312"/>
          <w:sz w:val="28"/>
          <w:szCs w:val="28"/>
        </w:rPr>
        <w:t>（三）博士研究生国家奖学金申请者科研能力和学术水平必须符合以下条件之一：</w:t>
      </w:r>
    </w:p>
    <w:p w14:paraId="5DCF009A">
      <w:pPr>
        <w:ind w:firstLine="560"/>
        <w:rPr>
          <w:rFonts w:hint="eastAsia" w:eastAsia="仿宋_GB2312"/>
          <w:sz w:val="28"/>
          <w:szCs w:val="28"/>
        </w:rPr>
      </w:pPr>
      <w:r>
        <w:rPr>
          <w:rFonts w:hint="eastAsia" w:eastAsia="仿宋_GB2312"/>
          <w:sz w:val="28"/>
          <w:szCs w:val="28"/>
        </w:rPr>
        <w:t>1.获得国际学术奖励或省部级以上政府部门颁发的科技成果奖励或创作与作品奖励1项及以上；</w:t>
      </w:r>
    </w:p>
    <w:p w14:paraId="3D1139DF">
      <w:pPr>
        <w:ind w:firstLine="560"/>
        <w:rPr>
          <w:rFonts w:hint="eastAsia" w:eastAsia="仿宋_GB2312"/>
          <w:sz w:val="28"/>
          <w:szCs w:val="28"/>
        </w:rPr>
      </w:pPr>
      <w:r>
        <w:rPr>
          <w:rFonts w:hint="eastAsia" w:eastAsia="仿宋_GB2312"/>
          <w:sz w:val="28"/>
          <w:szCs w:val="28"/>
        </w:rPr>
        <w:t>2.获得国家发明专利授权1项及以上；</w:t>
      </w:r>
    </w:p>
    <w:p w14:paraId="3E22BDE7">
      <w:pPr>
        <w:ind w:firstLine="560"/>
        <w:rPr>
          <w:rFonts w:hint="eastAsia" w:eastAsia="仿宋_GB2312"/>
          <w:sz w:val="28"/>
          <w:szCs w:val="28"/>
        </w:rPr>
      </w:pPr>
      <w:r>
        <w:rPr>
          <w:rFonts w:hint="eastAsia" w:eastAsia="仿宋_GB2312"/>
          <w:sz w:val="28"/>
          <w:szCs w:val="28"/>
        </w:rPr>
        <w:t>3.在学校设立的学术科研奖励期刊库中所列一类或二类或三类期刊发表论文1篇及以上。</w:t>
      </w:r>
    </w:p>
    <w:p w14:paraId="6A091133">
      <w:pPr>
        <w:ind w:firstLine="560"/>
        <w:rPr>
          <w:rFonts w:eastAsia="仿宋_GB2312"/>
          <w:sz w:val="28"/>
          <w:szCs w:val="28"/>
        </w:rPr>
      </w:pPr>
      <w:r>
        <w:rPr>
          <w:rFonts w:hint="eastAsia" w:eastAsia="仿宋_GB2312"/>
          <w:sz w:val="28"/>
          <w:szCs w:val="28"/>
        </w:rPr>
        <w:t>博士研究生国家奖学金</w:t>
      </w:r>
      <w:r>
        <w:rPr>
          <w:rFonts w:hint="eastAsia" w:eastAsia="仿宋_GB2312"/>
          <w:sz w:val="28"/>
          <w:szCs w:val="28"/>
          <w:lang w:val="en-US" w:eastAsia="zh-CN"/>
        </w:rPr>
        <w:t>成果取得</w:t>
      </w:r>
      <w:r>
        <w:rPr>
          <w:rFonts w:hint="eastAsia" w:eastAsia="仿宋_GB2312"/>
          <w:sz w:val="28"/>
          <w:szCs w:val="28"/>
        </w:rPr>
        <w:t>时间认定：前一学年的9月1日至本学年度的8月31日，申请博士研究生国家奖学金发表论文及科研成果署名认定：博士生本人为第一作者或通讯作者（共一作者只认定第一作者）或指导教师为第一作者，博士生本人为第二作者，公开发表第一署名单位为武汉理工大学或本校的联合培养基地，所有学术论文应见刊（含线上见刊）。</w:t>
      </w:r>
    </w:p>
    <w:p w14:paraId="24A12FA3">
      <w:pPr>
        <w:ind w:firstLine="560"/>
        <w:rPr>
          <w:rFonts w:hint="eastAsia" w:eastAsia="仿宋_GB2312"/>
          <w:sz w:val="28"/>
          <w:szCs w:val="28"/>
        </w:rPr>
      </w:pPr>
      <w:r>
        <w:rPr>
          <w:rFonts w:hint="eastAsia" w:eastAsia="仿宋_GB2312"/>
          <w:b/>
          <w:bCs/>
          <w:sz w:val="28"/>
          <w:szCs w:val="28"/>
        </w:rPr>
        <w:t>第十二条</w:t>
      </w:r>
      <w:r>
        <w:rPr>
          <w:rFonts w:hint="eastAsia" w:eastAsia="仿宋_GB2312"/>
          <w:sz w:val="28"/>
          <w:szCs w:val="28"/>
        </w:rPr>
        <w:t xml:space="preserve"> 研究生在学制内每学年均可申报国家奖学金，但依据的科研成果不得重复使用。超出学制期限的研究生，原则上不再具备研究生国家奖学金参评资格。</w:t>
      </w:r>
    </w:p>
    <w:p w14:paraId="77417AE5">
      <w:pPr>
        <w:pStyle w:val="185"/>
        <w:spacing w:before="0" w:after="0"/>
        <w:ind w:firstLine="562"/>
        <w:outlineLvl w:val="9"/>
        <w:rPr>
          <w:rFonts w:hint="eastAsia" w:eastAsia="仿宋_GB2312" w:cs="Times New Roman"/>
          <w:b w:val="0"/>
          <w:bCs w:val="0"/>
          <w:sz w:val="28"/>
          <w:szCs w:val="28"/>
        </w:rPr>
      </w:pPr>
      <w:r>
        <w:rPr>
          <w:rFonts w:hint="eastAsia"/>
          <w:bCs w:val="0"/>
          <w:sz w:val="28"/>
          <w:szCs w:val="28"/>
          <w:lang w:val="en-US" w:eastAsia="zh-CN"/>
        </w:rPr>
        <w:t>第十三条</w:t>
      </w:r>
      <w:r>
        <w:rPr>
          <w:rFonts w:hint="eastAsia"/>
          <w:b w:val="0"/>
          <w:sz w:val="28"/>
          <w:szCs w:val="28"/>
          <w:lang w:val="en-US" w:eastAsia="zh-CN"/>
        </w:rPr>
        <w:t xml:space="preserve"> </w:t>
      </w:r>
      <w:r>
        <w:rPr>
          <w:rFonts w:hint="eastAsia" w:eastAsia="仿宋_GB2312" w:cs="Times New Roman"/>
          <w:b w:val="0"/>
          <w:bCs w:val="0"/>
          <w:sz w:val="28"/>
          <w:szCs w:val="28"/>
        </w:rPr>
        <w:t>评审程序</w:t>
      </w:r>
    </w:p>
    <w:p w14:paraId="1E2450E7">
      <w:pPr>
        <w:ind w:firstLine="560"/>
        <w:rPr>
          <w:rFonts w:eastAsia="仿宋_GB2312"/>
          <w:sz w:val="28"/>
          <w:szCs w:val="28"/>
        </w:rPr>
      </w:pPr>
      <w:r>
        <w:rPr>
          <w:rFonts w:hint="eastAsia" w:eastAsia="仿宋_GB2312"/>
          <w:sz w:val="28"/>
          <w:szCs w:val="28"/>
        </w:rPr>
        <w:t>（一）研究生院公布相应比例和评审指标。</w:t>
      </w:r>
    </w:p>
    <w:p w14:paraId="55F12671">
      <w:pPr>
        <w:ind w:firstLine="560"/>
        <w:rPr>
          <w:rFonts w:hint="eastAsia" w:eastAsia="仿宋_GB2312"/>
          <w:sz w:val="28"/>
          <w:szCs w:val="28"/>
        </w:rPr>
      </w:pPr>
      <w:r>
        <w:rPr>
          <w:rFonts w:hint="eastAsia" w:eastAsia="仿宋_GB2312"/>
          <w:sz w:val="28"/>
          <w:szCs w:val="28"/>
        </w:rPr>
        <w:t>（二）申请国家奖学金的研究生，本人如实填写并按时提交《研究生国家奖学金申请审批表》</w:t>
      </w:r>
      <w:r>
        <w:rPr>
          <w:rFonts w:hint="eastAsia" w:eastAsia="仿宋_GB2312"/>
          <w:sz w:val="28"/>
          <w:szCs w:val="28"/>
          <w:lang w:eastAsia="zh-CN"/>
        </w:rPr>
        <w:t>（</w:t>
      </w:r>
      <w:r>
        <w:rPr>
          <w:rFonts w:hint="eastAsia" w:eastAsia="仿宋_GB2312"/>
          <w:sz w:val="28"/>
          <w:szCs w:val="28"/>
        </w:rPr>
        <w:t>附件1）、《信息工程学院研究生综合素质测评评分汇总表（硕士国奖用）》</w:t>
      </w:r>
      <w:r>
        <w:rPr>
          <w:rFonts w:hint="eastAsia" w:eastAsia="仿宋_GB2312"/>
          <w:sz w:val="28"/>
          <w:szCs w:val="28"/>
          <w:lang w:val="en-US" w:eastAsia="zh-CN"/>
        </w:rPr>
        <w:t>或</w:t>
      </w:r>
      <w:r>
        <w:rPr>
          <w:rFonts w:hint="eastAsia" w:eastAsia="仿宋_GB2312"/>
          <w:sz w:val="28"/>
          <w:szCs w:val="28"/>
        </w:rPr>
        <w:t>《信息学部博士研究生国家奖学金成果统计表》（附件</w:t>
      </w:r>
      <w:r>
        <w:rPr>
          <w:rFonts w:hint="eastAsia" w:eastAsia="仿宋_GB2312"/>
          <w:sz w:val="28"/>
          <w:szCs w:val="28"/>
          <w:lang w:val="en-US" w:eastAsia="zh-CN"/>
        </w:rPr>
        <w:t>3</w:t>
      </w:r>
      <w:r>
        <w:rPr>
          <w:rFonts w:hint="eastAsia" w:eastAsia="仿宋_GB2312"/>
          <w:sz w:val="28"/>
          <w:szCs w:val="28"/>
        </w:rPr>
        <w:t>），同时须附相关证明材料:（1）学院研究生办公室出具的签字盖章的学习成绩单；（2）核心期刊封面、目录和正文复印件，或专利授权（受理）证书复印件（另附：带有专利单位、发明人姓名的相关材料），或武汉理工大学图书馆开具的论文检索证明复印件（S</w:t>
      </w:r>
      <w:r>
        <w:rPr>
          <w:rFonts w:eastAsia="仿宋_GB2312"/>
          <w:sz w:val="28"/>
          <w:szCs w:val="28"/>
        </w:rPr>
        <w:t>CI</w:t>
      </w:r>
      <w:r>
        <w:rPr>
          <w:rFonts w:hint="eastAsia" w:eastAsia="仿宋_GB2312"/>
          <w:sz w:val="28"/>
          <w:szCs w:val="28"/>
        </w:rPr>
        <w:t>论文检索证明须含有JCR分区）；或学术科技竞赛获奖证书复印件；（3）社会工作、实践活动、各级表彰等荣誉证书复印件。逾期未交申请及相应证明材料，按照自愿放弃参评资格处理。</w:t>
      </w:r>
    </w:p>
    <w:p w14:paraId="121EF226">
      <w:pPr>
        <w:ind w:firstLine="560"/>
        <w:rPr>
          <w:rFonts w:hint="eastAsia" w:eastAsia="仿宋_GB2312"/>
          <w:sz w:val="28"/>
          <w:szCs w:val="28"/>
        </w:rPr>
      </w:pPr>
      <w:r>
        <w:rPr>
          <w:rFonts w:hint="eastAsia" w:eastAsia="仿宋_GB2312"/>
          <w:sz w:val="28"/>
          <w:szCs w:val="28"/>
        </w:rPr>
        <w:t>（</w:t>
      </w:r>
      <w:r>
        <w:rPr>
          <w:rFonts w:hint="eastAsia" w:eastAsia="仿宋_GB2312"/>
          <w:sz w:val="28"/>
          <w:szCs w:val="28"/>
          <w:lang w:val="en-US" w:eastAsia="zh-CN"/>
        </w:rPr>
        <w:t>三</w:t>
      </w:r>
      <w:r>
        <w:rPr>
          <w:rFonts w:hint="eastAsia" w:eastAsia="仿宋_GB2312"/>
          <w:sz w:val="28"/>
          <w:szCs w:val="28"/>
        </w:rPr>
        <w:t>）硕士生国家奖学金评审</w:t>
      </w:r>
    </w:p>
    <w:p w14:paraId="78C22618">
      <w:pPr>
        <w:ind w:firstLine="560"/>
        <w:rPr>
          <w:rFonts w:hint="eastAsia" w:eastAsia="仿宋_GB2312"/>
          <w:sz w:val="28"/>
          <w:szCs w:val="28"/>
        </w:rPr>
      </w:pPr>
      <w:r>
        <w:rPr>
          <w:rFonts w:hint="eastAsia" w:eastAsia="仿宋_GB2312"/>
          <w:sz w:val="28"/>
          <w:szCs w:val="28"/>
        </w:rPr>
        <w:t>1.学院奖学金评委会主任委员负责组织委员会成员对申请硕士生国家奖学金的申报材料进行评审，确定本单位拟获奖硕士研究生名单，并进行不少于5个工作日的公示，公示无异议后，将拟获奖学生名单提交党委研究生工作部。</w:t>
      </w:r>
    </w:p>
    <w:p w14:paraId="2526C421">
      <w:pPr>
        <w:ind w:firstLine="560"/>
        <w:rPr>
          <w:rFonts w:hint="eastAsia" w:eastAsia="仿宋_GB2312"/>
          <w:sz w:val="28"/>
          <w:szCs w:val="28"/>
        </w:rPr>
      </w:pPr>
      <w:r>
        <w:rPr>
          <w:rFonts w:hint="eastAsia" w:eastAsia="仿宋_GB2312"/>
          <w:sz w:val="28"/>
          <w:szCs w:val="28"/>
        </w:rPr>
        <w:t>2.党委研究生工作部审核后，提交学校学生奖助学金评审领导小组审定最终获奖名单，获奖名单在学校范围内进行不少于5个工作日的公示，公示无异议后上报教育部。</w:t>
      </w:r>
    </w:p>
    <w:p w14:paraId="33418C7C">
      <w:pPr>
        <w:ind w:firstLine="560"/>
        <w:rPr>
          <w:rFonts w:hint="eastAsia" w:eastAsia="仿宋_GB2312"/>
          <w:sz w:val="28"/>
          <w:szCs w:val="28"/>
        </w:rPr>
      </w:pPr>
      <w:r>
        <w:rPr>
          <w:rFonts w:hint="eastAsia" w:eastAsia="仿宋_GB2312"/>
          <w:sz w:val="28"/>
          <w:szCs w:val="28"/>
        </w:rPr>
        <w:t>（</w:t>
      </w:r>
      <w:r>
        <w:rPr>
          <w:rFonts w:hint="eastAsia" w:eastAsia="仿宋_GB2312"/>
          <w:sz w:val="28"/>
          <w:szCs w:val="28"/>
          <w:lang w:val="en-US" w:eastAsia="zh-CN"/>
        </w:rPr>
        <w:t>四</w:t>
      </w:r>
      <w:r>
        <w:rPr>
          <w:rFonts w:hint="eastAsia" w:eastAsia="仿宋_GB2312"/>
          <w:sz w:val="28"/>
          <w:szCs w:val="28"/>
        </w:rPr>
        <w:t>）博士生国家奖学金评审</w:t>
      </w:r>
    </w:p>
    <w:p w14:paraId="4CFCB6FF">
      <w:pPr>
        <w:ind w:firstLine="560"/>
        <w:rPr>
          <w:rFonts w:hint="eastAsia" w:eastAsia="仿宋_GB2312"/>
          <w:sz w:val="28"/>
          <w:szCs w:val="28"/>
        </w:rPr>
      </w:pPr>
      <w:r>
        <w:rPr>
          <w:rFonts w:hint="eastAsia" w:eastAsia="仿宋_GB2312"/>
          <w:sz w:val="28"/>
          <w:szCs w:val="28"/>
        </w:rPr>
        <w:t>1.学院</w:t>
      </w:r>
      <w:r>
        <w:rPr>
          <w:rFonts w:hint="eastAsia" w:eastAsia="仿宋_GB2312"/>
          <w:sz w:val="28"/>
          <w:szCs w:val="28"/>
          <w:lang w:val="en-US" w:eastAsia="zh-CN"/>
        </w:rPr>
        <w:t>奖学金评委会</w:t>
      </w:r>
      <w:r>
        <w:rPr>
          <w:rFonts w:hint="eastAsia" w:eastAsia="仿宋_GB2312"/>
          <w:sz w:val="28"/>
          <w:szCs w:val="28"/>
        </w:rPr>
        <w:t>主任委员负责组织委员会成员对申请博士生国家奖学金的申报材料进行审核，并将审核通过后的申报材料提交信息学部学术委员会。</w:t>
      </w:r>
    </w:p>
    <w:p w14:paraId="4DD52340">
      <w:pPr>
        <w:ind w:firstLine="560"/>
        <w:rPr>
          <w:rFonts w:hint="eastAsia" w:eastAsia="仿宋_GB2312"/>
          <w:sz w:val="28"/>
          <w:szCs w:val="28"/>
        </w:rPr>
      </w:pPr>
      <w:r>
        <w:rPr>
          <w:rFonts w:hint="eastAsia" w:eastAsia="仿宋_GB2312"/>
          <w:sz w:val="28"/>
          <w:szCs w:val="28"/>
        </w:rPr>
        <w:t>2.学部学术委员会主任负责组织学术委员会成员对申请博士生国家奖学金的申报材料进行评审，确定拟获奖博士研究生名单，并进行不少于5个工作日的公示，公示无异议后，将拟获奖学生名单提交党委研究生工作部。</w:t>
      </w:r>
    </w:p>
    <w:p w14:paraId="007B2B9A">
      <w:pPr>
        <w:ind w:firstLine="560"/>
        <w:rPr>
          <w:rFonts w:hint="eastAsia" w:eastAsia="仿宋_GB2312"/>
          <w:sz w:val="28"/>
          <w:szCs w:val="28"/>
        </w:rPr>
      </w:pPr>
      <w:r>
        <w:rPr>
          <w:rFonts w:hint="eastAsia" w:eastAsia="仿宋_GB2312"/>
          <w:sz w:val="28"/>
          <w:szCs w:val="28"/>
        </w:rPr>
        <w:t>3.党委研究生工作部审核后，提交学校学生奖助学金评审领导小组确定最终获奖名单，获奖名单在学校范围内进行不少于5个工作日的公示，公示无异议后上报教育部。</w:t>
      </w:r>
    </w:p>
    <w:p w14:paraId="67961F0F">
      <w:pPr>
        <w:pStyle w:val="3"/>
        <w:ind w:firstLine="560"/>
        <w:rPr>
          <w:rFonts w:hint="eastAsia" w:eastAsia="仿宋_GB2312"/>
          <w:sz w:val="28"/>
          <w:szCs w:val="28"/>
        </w:rPr>
      </w:pPr>
      <w:r>
        <w:rPr>
          <w:rFonts w:hint="eastAsia"/>
          <w:szCs w:val="28"/>
        </w:rPr>
        <w:t>第</w:t>
      </w:r>
      <w:r>
        <w:rPr>
          <w:rFonts w:hint="eastAsia"/>
          <w:szCs w:val="28"/>
          <w:lang w:val="en-US" w:eastAsia="zh-CN"/>
        </w:rPr>
        <w:t>四</w:t>
      </w:r>
      <w:r>
        <w:rPr>
          <w:rFonts w:hint="eastAsia"/>
          <w:szCs w:val="28"/>
        </w:rPr>
        <w:t xml:space="preserve">章 </w:t>
      </w:r>
      <w:r>
        <w:rPr>
          <w:szCs w:val="28"/>
        </w:rPr>
        <w:t xml:space="preserve"> </w:t>
      </w:r>
      <w:r>
        <w:rPr>
          <w:rFonts w:hint="eastAsia"/>
          <w:szCs w:val="28"/>
        </w:rPr>
        <w:t>研究生</w:t>
      </w:r>
      <w:r>
        <w:rPr>
          <w:rFonts w:hint="eastAsia"/>
          <w:szCs w:val="28"/>
          <w:lang w:val="en-US" w:eastAsia="zh-CN"/>
        </w:rPr>
        <w:t>学业</w:t>
      </w:r>
      <w:r>
        <w:rPr>
          <w:rFonts w:hint="eastAsia"/>
          <w:szCs w:val="28"/>
        </w:rPr>
        <w:t>奖</w:t>
      </w:r>
      <w:r>
        <w:rPr>
          <w:rFonts w:hint="eastAsia"/>
          <w:szCs w:val="28"/>
          <w:lang w:val="en-US" w:eastAsia="zh-CN"/>
        </w:rPr>
        <w:t>学金评审办法</w:t>
      </w:r>
    </w:p>
    <w:p w14:paraId="083D62FC">
      <w:pPr>
        <w:rPr>
          <w:rFonts w:hint="eastAsia" w:ascii="仿宋_GB2312" w:hAnsi="仿宋_GB2312" w:eastAsia="仿宋_GB2312" w:cs="仿宋_GB2312"/>
          <w:b w:val="0"/>
          <w:sz w:val="28"/>
          <w:szCs w:val="28"/>
        </w:rPr>
      </w:pPr>
      <w:r>
        <w:rPr>
          <w:rFonts w:hint="eastAsia" w:eastAsia="仿宋_GB2312"/>
          <w:b/>
          <w:sz w:val="28"/>
          <w:szCs w:val="28"/>
        </w:rPr>
        <w:t>第十</w:t>
      </w:r>
      <w:r>
        <w:rPr>
          <w:rFonts w:hint="eastAsia" w:eastAsia="仿宋_GB2312"/>
          <w:b/>
          <w:sz w:val="28"/>
          <w:szCs w:val="28"/>
          <w:lang w:val="en-US" w:eastAsia="zh-CN"/>
        </w:rPr>
        <w:t>四</w:t>
      </w:r>
      <w:r>
        <w:rPr>
          <w:rFonts w:hint="eastAsia" w:eastAsia="仿宋_GB2312"/>
          <w:b/>
          <w:sz w:val="28"/>
          <w:szCs w:val="28"/>
        </w:rPr>
        <w:t xml:space="preserve">条 </w:t>
      </w:r>
      <w:r>
        <w:rPr>
          <w:rFonts w:hint="eastAsia" w:eastAsia="仿宋_GB2312"/>
          <w:b w:val="0"/>
          <w:bCs/>
          <w:sz w:val="28"/>
          <w:szCs w:val="28"/>
        </w:rPr>
        <w:t>评审对象</w:t>
      </w:r>
    </w:p>
    <w:p w14:paraId="4098EB61">
      <w:pPr>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（一）参评研究生学业奖学金，应具备以下条件：</w:t>
      </w:r>
    </w:p>
    <w:p w14:paraId="535FB3A5">
      <w:pPr>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1.具有中华人民共和国国籍;</w:t>
      </w:r>
    </w:p>
    <w:p w14:paraId="3D780CD3">
      <w:pPr>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2.热爱社会主义祖国，拥护中国共产党的领导;</w:t>
      </w:r>
    </w:p>
    <w:p w14:paraId="50652EBD">
      <w:pPr>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3.遵守宪法和法律，遵守学校规章制度;</w:t>
      </w:r>
    </w:p>
    <w:p w14:paraId="1F514954">
      <w:pPr>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4.诚实守信，品学兼优;</w:t>
      </w:r>
    </w:p>
    <w:p w14:paraId="148C30B3">
      <w:pPr>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5.积极参与科学研究和社会实践。</w:t>
      </w:r>
    </w:p>
    <w:p w14:paraId="39C77257">
      <w:pPr>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（二）出现以下任一情况，不具备当年研究生学业奖学金申请条件：</w:t>
      </w:r>
    </w:p>
    <w:p w14:paraId="54474103">
      <w:pPr>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1.受到纪律处分；</w:t>
      </w:r>
    </w:p>
    <w:p w14:paraId="48B0F499">
      <w:pPr>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2.有抄袭剽窃、弄虚作假等学术不端行为经查证属实；</w:t>
      </w:r>
    </w:p>
    <w:p w14:paraId="3C10B34F">
      <w:pPr>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3.学籍状态处于休学、保留学籍状态；</w:t>
      </w:r>
    </w:p>
    <w:p w14:paraId="029B8AA1">
      <w:pPr>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4.在科研工作中，造成重大事故及损失；</w:t>
      </w:r>
    </w:p>
    <w:p w14:paraId="51A53414">
      <w:pPr>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5.参加非法组织及活动；</w:t>
      </w:r>
    </w:p>
    <w:p w14:paraId="6595C3BD">
      <w:pPr>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6.有课程不及格或未按照培养计划要求执行；</w:t>
      </w:r>
    </w:p>
    <w:p w14:paraId="4728D51C">
      <w:pPr>
        <w:pStyle w:val="185"/>
        <w:spacing w:before="0" w:after="0"/>
        <w:ind w:firstLine="560"/>
        <w:outlineLvl w:val="9"/>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7.未按学校规定注册而又无正当事由；</w:t>
      </w:r>
    </w:p>
    <w:p w14:paraId="323AAF1A">
      <w:pPr>
        <w:pStyle w:val="185"/>
        <w:spacing w:before="0" w:after="0"/>
        <w:ind w:firstLine="560"/>
        <w:outlineLvl w:val="9"/>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8.有协议约定不参评者；</w:t>
      </w:r>
    </w:p>
    <w:p w14:paraId="07817A3A">
      <w:pPr>
        <w:ind w:firstLine="560"/>
        <w:rPr>
          <w:rFonts w:hint="eastAsia" w:eastAsia="仿宋_GB2312"/>
          <w:sz w:val="28"/>
          <w:szCs w:val="28"/>
        </w:rPr>
      </w:pPr>
      <w:r>
        <w:rPr>
          <w:rFonts w:hint="eastAsia" w:ascii="仿宋_GB2312" w:hAnsi="仿宋_GB2312" w:eastAsia="仿宋_GB2312" w:cs="仿宋_GB2312"/>
          <w:sz w:val="28"/>
          <w:szCs w:val="28"/>
        </w:rPr>
        <w:t>9.有其他有损学校声誉的行为。</w:t>
      </w:r>
    </w:p>
    <w:p w14:paraId="733EB16F">
      <w:pPr>
        <w:ind w:firstLine="560"/>
        <w:rPr>
          <w:rFonts w:eastAsia="仿宋_GB2312"/>
          <w:sz w:val="28"/>
          <w:szCs w:val="28"/>
        </w:rPr>
      </w:pPr>
      <w:r>
        <w:rPr>
          <w:rFonts w:hint="eastAsia" w:eastAsia="仿宋_GB2312"/>
          <w:b/>
          <w:bCs/>
          <w:sz w:val="28"/>
          <w:szCs w:val="28"/>
        </w:rPr>
        <w:t>第十</w:t>
      </w:r>
      <w:r>
        <w:rPr>
          <w:rFonts w:hint="eastAsia" w:eastAsia="仿宋_GB2312"/>
          <w:b/>
          <w:bCs/>
          <w:sz w:val="28"/>
          <w:szCs w:val="28"/>
          <w:lang w:val="en-US" w:eastAsia="zh-CN"/>
        </w:rPr>
        <w:t>五</w:t>
      </w:r>
      <w:r>
        <w:rPr>
          <w:rFonts w:hint="eastAsia" w:eastAsia="仿宋_GB2312"/>
          <w:b/>
          <w:bCs/>
          <w:sz w:val="28"/>
          <w:szCs w:val="28"/>
        </w:rPr>
        <w:t>条</w:t>
      </w:r>
      <w:r>
        <w:rPr>
          <w:rFonts w:hint="eastAsia" w:eastAsia="仿宋_GB2312"/>
          <w:sz w:val="28"/>
          <w:szCs w:val="28"/>
        </w:rPr>
        <w:t xml:space="preserve"> 推免研究生</w:t>
      </w:r>
    </w:p>
    <w:p w14:paraId="78CDE1D3">
      <w:pPr>
        <w:ind w:firstLine="560"/>
        <w:rPr>
          <w:rFonts w:hint="eastAsia" w:eastAsia="仿宋_GB2312"/>
          <w:sz w:val="28"/>
          <w:szCs w:val="28"/>
        </w:rPr>
      </w:pPr>
      <w:r>
        <w:rPr>
          <w:rFonts w:hint="eastAsia" w:eastAsia="仿宋_GB2312"/>
          <w:sz w:val="28"/>
          <w:szCs w:val="28"/>
        </w:rPr>
        <w:t>1.硕博连读生（从已完成硕士课程的在学硕士研究生中选拔录取的博士研究生）在注册为博士研究生之前，按照硕士研究生身份参与奖学金评定；注册为博士研究生后，按照博士研究生参与奖学金评定。</w:t>
      </w:r>
    </w:p>
    <w:p w14:paraId="67881CDF">
      <w:pPr>
        <w:ind w:firstLine="560"/>
        <w:rPr>
          <w:rFonts w:hint="eastAsia" w:eastAsia="仿宋_GB2312"/>
          <w:sz w:val="28"/>
          <w:szCs w:val="28"/>
        </w:rPr>
      </w:pPr>
      <w:r>
        <w:rPr>
          <w:rFonts w:hint="eastAsia" w:eastAsia="仿宋_GB2312"/>
          <w:sz w:val="28"/>
          <w:szCs w:val="28"/>
        </w:rPr>
        <w:t>2.直接攻博生（从具有推荐免试资格的优秀应届本科毕业生中直接录取的博士研究生）根据当年所修课程的层次阶段确定身份参与研究生学业奖学金的评定。在选修硕士课程阶段按照硕士研究生身份参与评定，进入选修博士研究生课程阶段按照博士研究生身份参与评定。</w:t>
      </w:r>
    </w:p>
    <w:p w14:paraId="7428F422">
      <w:pPr>
        <w:pStyle w:val="185"/>
        <w:spacing w:before="0" w:after="0"/>
        <w:ind w:firstLine="562"/>
        <w:outlineLvl w:val="9"/>
        <w:rPr>
          <w:rFonts w:hint="eastAsia" w:ascii="仿宋_GB2312" w:hAnsi="仿宋_GB2312" w:eastAsia="仿宋_GB2312" w:cs="仿宋_GB2312"/>
          <w:b w:val="0"/>
          <w:sz w:val="28"/>
          <w:szCs w:val="28"/>
          <w:lang w:val="en-US" w:eastAsia="zh-CN"/>
        </w:rPr>
      </w:pPr>
      <w:r>
        <w:rPr>
          <w:rFonts w:hint="eastAsia" w:ascii="仿宋_GB2312" w:hAnsi="仿宋_GB2312" w:eastAsia="仿宋_GB2312" w:cs="仿宋_GB2312"/>
          <w:sz w:val="28"/>
          <w:szCs w:val="28"/>
          <w:lang w:val="en-US" w:eastAsia="zh-CN"/>
        </w:rPr>
        <w:t>第十六条</w:t>
      </w:r>
      <w:r>
        <w:rPr>
          <w:rFonts w:hint="eastAsia" w:ascii="仿宋_GB2312" w:hAnsi="仿宋_GB2312" w:eastAsia="仿宋_GB2312" w:cs="仿宋_GB2312"/>
          <w:b w:val="0"/>
          <w:sz w:val="28"/>
          <w:szCs w:val="28"/>
          <w:lang w:val="en-US" w:eastAsia="zh-CN"/>
        </w:rPr>
        <w:t xml:space="preserve"> 学业奖学金等级、金额和比例</w:t>
      </w:r>
    </w:p>
    <w:tbl>
      <w:tblPr>
        <w:tblStyle w:val="33"/>
        <w:tblpPr w:leftFromText="180" w:rightFromText="180" w:vertAnchor="text" w:horzAnchor="page" w:tblpX="1792" w:tblpY="269"/>
        <w:tblOverlap w:val="never"/>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10"/>
        <w:gridCol w:w="2529"/>
        <w:gridCol w:w="1939"/>
        <w:gridCol w:w="1963"/>
      </w:tblGrid>
      <w:tr w14:paraId="695DE5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1910" w:type="dxa"/>
            <w:noWrap w:val="0"/>
            <w:vAlign w:val="top"/>
          </w:tcPr>
          <w:p w14:paraId="53E1563C">
            <w:pPr>
              <w:pStyle w:val="186"/>
              <w:spacing w:before="131"/>
              <w:ind w:left="470" w:firstLine="0" w:firstLineChars="0"/>
              <w:jc w:val="left"/>
              <w:rPr>
                <w:rFonts w:ascii="黑体" w:eastAsia="黑体"/>
                <w:sz w:val="24"/>
              </w:rPr>
            </w:pPr>
            <w:r>
              <w:rPr>
                <w:rFonts w:ascii="黑体" w:eastAsia="黑体"/>
                <w:spacing w:val="-3"/>
                <w:sz w:val="24"/>
              </w:rPr>
              <w:t>培养层次</w:t>
            </w:r>
          </w:p>
        </w:tc>
        <w:tc>
          <w:tcPr>
            <w:tcW w:w="2529" w:type="dxa"/>
            <w:noWrap w:val="0"/>
            <w:vAlign w:val="top"/>
          </w:tcPr>
          <w:p w14:paraId="0D968F29">
            <w:pPr>
              <w:pStyle w:val="186"/>
              <w:spacing w:before="131"/>
              <w:ind w:left="410" w:right="402" w:firstLine="0" w:firstLineChars="0"/>
              <w:rPr>
                <w:rFonts w:ascii="黑体" w:eastAsia="黑体"/>
                <w:sz w:val="24"/>
              </w:rPr>
            </w:pPr>
            <w:r>
              <w:rPr>
                <w:rFonts w:ascii="黑体" w:eastAsia="黑体"/>
                <w:spacing w:val="-2"/>
                <w:sz w:val="24"/>
              </w:rPr>
              <w:t>学业奖学金等级</w:t>
            </w:r>
          </w:p>
        </w:tc>
        <w:tc>
          <w:tcPr>
            <w:tcW w:w="1939" w:type="dxa"/>
            <w:noWrap w:val="0"/>
            <w:vAlign w:val="top"/>
          </w:tcPr>
          <w:p w14:paraId="46ED1453">
            <w:pPr>
              <w:pStyle w:val="186"/>
              <w:spacing w:before="131"/>
              <w:ind w:left="236" w:right="232" w:firstLine="0" w:firstLineChars="0"/>
              <w:rPr>
                <w:rFonts w:ascii="黑体" w:eastAsia="黑体"/>
                <w:sz w:val="24"/>
              </w:rPr>
            </w:pPr>
            <w:r>
              <w:rPr>
                <w:rFonts w:ascii="黑体" w:eastAsia="黑体"/>
                <w:spacing w:val="-2"/>
                <w:sz w:val="24"/>
              </w:rPr>
              <w:t>金额（万元</w:t>
            </w:r>
            <w:r>
              <w:rPr>
                <w:rFonts w:ascii="黑体" w:eastAsia="黑体"/>
                <w:spacing w:val="-10"/>
                <w:sz w:val="24"/>
              </w:rPr>
              <w:t>）</w:t>
            </w:r>
          </w:p>
        </w:tc>
        <w:tc>
          <w:tcPr>
            <w:tcW w:w="1963" w:type="dxa"/>
            <w:noWrap w:val="0"/>
            <w:vAlign w:val="top"/>
          </w:tcPr>
          <w:p w14:paraId="4579E9AE">
            <w:pPr>
              <w:pStyle w:val="186"/>
              <w:spacing w:before="131"/>
              <w:ind w:left="738" w:firstLine="0" w:firstLineChars="0"/>
              <w:jc w:val="left"/>
              <w:rPr>
                <w:rFonts w:ascii="黑体" w:eastAsia="黑体"/>
                <w:sz w:val="24"/>
              </w:rPr>
            </w:pPr>
            <w:r>
              <w:rPr>
                <w:rFonts w:ascii="黑体" w:eastAsia="黑体"/>
                <w:spacing w:val="-5"/>
                <w:sz w:val="24"/>
              </w:rPr>
              <w:t>比例</w:t>
            </w:r>
          </w:p>
        </w:tc>
      </w:tr>
      <w:tr w14:paraId="220D9E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1910" w:type="dxa"/>
            <w:vMerge w:val="restart"/>
            <w:noWrap w:val="0"/>
            <w:vAlign w:val="top"/>
          </w:tcPr>
          <w:p w14:paraId="2E1BA590">
            <w:pPr>
              <w:pStyle w:val="186"/>
              <w:ind w:firstLine="0" w:firstLineChars="0"/>
              <w:jc w:val="left"/>
              <w:rPr>
                <w:sz w:val="31"/>
              </w:rPr>
            </w:pPr>
          </w:p>
          <w:p w14:paraId="19483AA4">
            <w:pPr>
              <w:pStyle w:val="186"/>
              <w:spacing w:before="1"/>
              <w:ind w:left="699" w:right="690" w:firstLine="0" w:firstLineChars="0"/>
              <w:rPr>
                <w:sz w:val="24"/>
              </w:rPr>
            </w:pPr>
            <w:r>
              <w:rPr>
                <w:spacing w:val="-5"/>
                <w:sz w:val="24"/>
              </w:rPr>
              <w:t>博士</w:t>
            </w:r>
          </w:p>
        </w:tc>
        <w:tc>
          <w:tcPr>
            <w:tcW w:w="2529" w:type="dxa"/>
            <w:noWrap w:val="0"/>
            <w:vAlign w:val="top"/>
          </w:tcPr>
          <w:p w14:paraId="73BCEAF7">
            <w:pPr>
              <w:pStyle w:val="186"/>
              <w:spacing w:before="26"/>
              <w:ind w:left="408" w:right="402" w:firstLine="0" w:firstLineChars="0"/>
              <w:rPr>
                <w:sz w:val="24"/>
              </w:rPr>
            </w:pPr>
            <w:r>
              <w:rPr>
                <w:spacing w:val="-5"/>
                <w:sz w:val="24"/>
              </w:rPr>
              <w:t>一等</w:t>
            </w:r>
          </w:p>
        </w:tc>
        <w:tc>
          <w:tcPr>
            <w:tcW w:w="1939" w:type="dxa"/>
            <w:noWrap w:val="0"/>
            <w:vAlign w:val="top"/>
          </w:tcPr>
          <w:p w14:paraId="78E89E25">
            <w:pPr>
              <w:pStyle w:val="186"/>
              <w:spacing w:before="26"/>
              <w:ind w:left="236" w:right="225" w:firstLine="0" w:firstLineChars="0"/>
              <w:rPr>
                <w:sz w:val="24"/>
              </w:rPr>
            </w:pPr>
            <w:r>
              <w:rPr>
                <w:spacing w:val="-5"/>
                <w:sz w:val="24"/>
              </w:rPr>
              <w:t>1.2</w:t>
            </w:r>
          </w:p>
        </w:tc>
        <w:tc>
          <w:tcPr>
            <w:tcW w:w="1963" w:type="dxa"/>
            <w:noWrap w:val="0"/>
            <w:vAlign w:val="top"/>
          </w:tcPr>
          <w:p w14:paraId="54A1681C">
            <w:pPr>
              <w:pStyle w:val="186"/>
              <w:spacing w:before="26"/>
              <w:ind w:left="797" w:firstLine="0" w:firstLineChars="0"/>
              <w:jc w:val="left"/>
              <w:rPr>
                <w:sz w:val="24"/>
              </w:rPr>
            </w:pPr>
            <w:r>
              <w:rPr>
                <w:spacing w:val="-5"/>
                <w:sz w:val="24"/>
              </w:rPr>
              <w:t>20%</w:t>
            </w:r>
          </w:p>
        </w:tc>
      </w:tr>
      <w:tr w14:paraId="4D6FCC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1910" w:type="dxa"/>
            <w:vMerge w:val="continue"/>
            <w:tcBorders>
              <w:top w:val="nil"/>
            </w:tcBorders>
            <w:noWrap w:val="0"/>
            <w:vAlign w:val="top"/>
          </w:tcPr>
          <w:p w14:paraId="459FADC4">
            <w:pPr>
              <w:ind w:firstLine="0" w:firstLineChars="0"/>
              <w:rPr>
                <w:sz w:val="2"/>
                <w:szCs w:val="2"/>
              </w:rPr>
            </w:pPr>
          </w:p>
        </w:tc>
        <w:tc>
          <w:tcPr>
            <w:tcW w:w="2529" w:type="dxa"/>
            <w:noWrap w:val="0"/>
            <w:vAlign w:val="top"/>
          </w:tcPr>
          <w:p w14:paraId="65E90F0A">
            <w:pPr>
              <w:pStyle w:val="186"/>
              <w:spacing w:before="26"/>
              <w:ind w:left="408" w:right="402" w:firstLine="0" w:firstLineChars="0"/>
              <w:rPr>
                <w:sz w:val="24"/>
              </w:rPr>
            </w:pPr>
            <w:r>
              <w:rPr>
                <w:spacing w:val="-5"/>
                <w:sz w:val="24"/>
              </w:rPr>
              <w:t>二等</w:t>
            </w:r>
          </w:p>
        </w:tc>
        <w:tc>
          <w:tcPr>
            <w:tcW w:w="1939" w:type="dxa"/>
            <w:noWrap w:val="0"/>
            <w:vAlign w:val="top"/>
          </w:tcPr>
          <w:p w14:paraId="7586A861">
            <w:pPr>
              <w:pStyle w:val="186"/>
              <w:spacing w:before="26"/>
              <w:ind w:left="8" w:firstLine="0" w:firstLineChars="0"/>
              <w:rPr>
                <w:sz w:val="24"/>
              </w:rPr>
            </w:pPr>
            <w:r>
              <w:rPr>
                <w:sz w:val="24"/>
              </w:rPr>
              <w:t>1</w:t>
            </w:r>
          </w:p>
        </w:tc>
        <w:tc>
          <w:tcPr>
            <w:tcW w:w="1963" w:type="dxa"/>
            <w:noWrap w:val="0"/>
            <w:vAlign w:val="top"/>
          </w:tcPr>
          <w:p w14:paraId="71584F30">
            <w:pPr>
              <w:pStyle w:val="186"/>
              <w:spacing w:before="26"/>
              <w:ind w:left="797" w:firstLine="0" w:firstLineChars="0"/>
              <w:jc w:val="left"/>
              <w:rPr>
                <w:sz w:val="24"/>
              </w:rPr>
            </w:pPr>
            <w:r>
              <w:rPr>
                <w:spacing w:val="-5"/>
                <w:sz w:val="24"/>
              </w:rPr>
              <w:t>50%</w:t>
            </w:r>
          </w:p>
        </w:tc>
      </w:tr>
      <w:tr w14:paraId="063CA2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1910" w:type="dxa"/>
            <w:vMerge w:val="continue"/>
            <w:tcBorders>
              <w:top w:val="nil"/>
            </w:tcBorders>
            <w:noWrap w:val="0"/>
            <w:vAlign w:val="top"/>
          </w:tcPr>
          <w:p w14:paraId="120677CF">
            <w:pPr>
              <w:ind w:firstLine="0" w:firstLineChars="0"/>
              <w:rPr>
                <w:sz w:val="2"/>
                <w:szCs w:val="2"/>
              </w:rPr>
            </w:pPr>
          </w:p>
        </w:tc>
        <w:tc>
          <w:tcPr>
            <w:tcW w:w="2529" w:type="dxa"/>
            <w:noWrap w:val="0"/>
            <w:vAlign w:val="top"/>
          </w:tcPr>
          <w:p w14:paraId="128BB4C2">
            <w:pPr>
              <w:pStyle w:val="186"/>
              <w:spacing w:before="26"/>
              <w:ind w:left="408" w:right="402" w:firstLine="0" w:firstLineChars="0"/>
              <w:rPr>
                <w:sz w:val="24"/>
              </w:rPr>
            </w:pPr>
            <w:r>
              <w:rPr>
                <w:spacing w:val="-5"/>
                <w:sz w:val="24"/>
              </w:rPr>
              <w:t>三等</w:t>
            </w:r>
          </w:p>
        </w:tc>
        <w:tc>
          <w:tcPr>
            <w:tcW w:w="1939" w:type="dxa"/>
            <w:noWrap w:val="0"/>
            <w:vAlign w:val="top"/>
          </w:tcPr>
          <w:p w14:paraId="555B9044">
            <w:pPr>
              <w:pStyle w:val="186"/>
              <w:spacing w:before="26"/>
              <w:ind w:left="236" w:right="225" w:firstLine="0" w:firstLineChars="0"/>
              <w:rPr>
                <w:sz w:val="24"/>
              </w:rPr>
            </w:pPr>
            <w:r>
              <w:rPr>
                <w:spacing w:val="-5"/>
                <w:sz w:val="24"/>
              </w:rPr>
              <w:t>0.8</w:t>
            </w:r>
          </w:p>
        </w:tc>
        <w:tc>
          <w:tcPr>
            <w:tcW w:w="1963" w:type="dxa"/>
            <w:noWrap w:val="0"/>
            <w:vAlign w:val="top"/>
          </w:tcPr>
          <w:p w14:paraId="3406FCEF">
            <w:pPr>
              <w:pStyle w:val="186"/>
              <w:spacing w:before="26"/>
              <w:ind w:left="797" w:firstLine="0" w:firstLineChars="0"/>
              <w:jc w:val="left"/>
              <w:rPr>
                <w:sz w:val="24"/>
              </w:rPr>
            </w:pPr>
            <w:r>
              <w:rPr>
                <w:spacing w:val="-5"/>
                <w:sz w:val="24"/>
              </w:rPr>
              <w:t>30%</w:t>
            </w:r>
          </w:p>
        </w:tc>
      </w:tr>
      <w:tr w14:paraId="53134B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1910" w:type="dxa"/>
            <w:vMerge w:val="restart"/>
            <w:noWrap w:val="0"/>
            <w:vAlign w:val="top"/>
          </w:tcPr>
          <w:p w14:paraId="3535F446">
            <w:pPr>
              <w:pStyle w:val="186"/>
              <w:ind w:firstLine="0" w:firstLineChars="0"/>
              <w:jc w:val="left"/>
              <w:rPr>
                <w:sz w:val="31"/>
              </w:rPr>
            </w:pPr>
          </w:p>
          <w:p w14:paraId="32F02048">
            <w:pPr>
              <w:pStyle w:val="186"/>
              <w:spacing w:before="1"/>
              <w:ind w:left="699" w:right="690" w:firstLine="0" w:firstLineChars="0"/>
              <w:rPr>
                <w:sz w:val="24"/>
              </w:rPr>
            </w:pPr>
            <w:r>
              <w:rPr>
                <w:spacing w:val="-5"/>
                <w:sz w:val="24"/>
              </w:rPr>
              <w:t>硕士</w:t>
            </w:r>
          </w:p>
        </w:tc>
        <w:tc>
          <w:tcPr>
            <w:tcW w:w="2529" w:type="dxa"/>
            <w:noWrap w:val="0"/>
            <w:vAlign w:val="top"/>
          </w:tcPr>
          <w:p w14:paraId="2E3E2B36">
            <w:pPr>
              <w:pStyle w:val="186"/>
              <w:spacing w:before="26"/>
              <w:ind w:left="408" w:right="402" w:firstLine="0" w:firstLineChars="0"/>
              <w:rPr>
                <w:sz w:val="24"/>
              </w:rPr>
            </w:pPr>
            <w:r>
              <w:rPr>
                <w:spacing w:val="-5"/>
                <w:sz w:val="24"/>
              </w:rPr>
              <w:t>一等</w:t>
            </w:r>
          </w:p>
        </w:tc>
        <w:tc>
          <w:tcPr>
            <w:tcW w:w="1939" w:type="dxa"/>
            <w:noWrap w:val="0"/>
            <w:vAlign w:val="top"/>
          </w:tcPr>
          <w:p w14:paraId="2D8B719C">
            <w:pPr>
              <w:pStyle w:val="186"/>
              <w:spacing w:before="26"/>
              <w:ind w:left="8" w:firstLine="0" w:firstLineChars="0"/>
              <w:rPr>
                <w:sz w:val="24"/>
              </w:rPr>
            </w:pPr>
            <w:r>
              <w:rPr>
                <w:sz w:val="24"/>
              </w:rPr>
              <w:t>1</w:t>
            </w:r>
          </w:p>
        </w:tc>
        <w:tc>
          <w:tcPr>
            <w:tcW w:w="1963" w:type="dxa"/>
            <w:noWrap w:val="0"/>
            <w:vAlign w:val="top"/>
          </w:tcPr>
          <w:p w14:paraId="111D7AF4">
            <w:pPr>
              <w:pStyle w:val="186"/>
              <w:spacing w:before="26"/>
              <w:ind w:left="797" w:firstLine="0" w:firstLineChars="0"/>
              <w:jc w:val="left"/>
              <w:rPr>
                <w:sz w:val="24"/>
              </w:rPr>
            </w:pPr>
            <w:r>
              <w:rPr>
                <w:spacing w:val="-5"/>
                <w:sz w:val="24"/>
              </w:rPr>
              <w:t>20%</w:t>
            </w:r>
          </w:p>
        </w:tc>
      </w:tr>
      <w:tr w14:paraId="0ADA58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910" w:type="dxa"/>
            <w:vMerge w:val="continue"/>
            <w:tcBorders>
              <w:top w:val="nil"/>
            </w:tcBorders>
            <w:noWrap w:val="0"/>
            <w:vAlign w:val="top"/>
          </w:tcPr>
          <w:p w14:paraId="5DDA80CC">
            <w:pPr>
              <w:ind w:firstLine="0" w:firstLineChars="0"/>
              <w:rPr>
                <w:sz w:val="2"/>
                <w:szCs w:val="2"/>
              </w:rPr>
            </w:pPr>
          </w:p>
        </w:tc>
        <w:tc>
          <w:tcPr>
            <w:tcW w:w="2529" w:type="dxa"/>
            <w:noWrap w:val="0"/>
            <w:vAlign w:val="top"/>
          </w:tcPr>
          <w:p w14:paraId="6E371C49">
            <w:pPr>
              <w:pStyle w:val="186"/>
              <w:spacing w:before="26"/>
              <w:ind w:left="408" w:right="402" w:firstLine="0" w:firstLineChars="0"/>
              <w:rPr>
                <w:sz w:val="24"/>
              </w:rPr>
            </w:pPr>
            <w:r>
              <w:rPr>
                <w:spacing w:val="-5"/>
                <w:sz w:val="24"/>
              </w:rPr>
              <w:t>二等</w:t>
            </w:r>
          </w:p>
        </w:tc>
        <w:tc>
          <w:tcPr>
            <w:tcW w:w="1939" w:type="dxa"/>
            <w:noWrap w:val="0"/>
            <w:vAlign w:val="top"/>
          </w:tcPr>
          <w:p w14:paraId="6583B97B">
            <w:pPr>
              <w:pStyle w:val="186"/>
              <w:spacing w:before="26"/>
              <w:ind w:left="236" w:right="225" w:firstLine="0" w:firstLineChars="0"/>
              <w:rPr>
                <w:sz w:val="24"/>
              </w:rPr>
            </w:pPr>
            <w:r>
              <w:rPr>
                <w:spacing w:val="-5"/>
                <w:sz w:val="24"/>
              </w:rPr>
              <w:t>0.8</w:t>
            </w:r>
          </w:p>
        </w:tc>
        <w:tc>
          <w:tcPr>
            <w:tcW w:w="1963" w:type="dxa"/>
            <w:noWrap w:val="0"/>
            <w:vAlign w:val="top"/>
          </w:tcPr>
          <w:p w14:paraId="1507BFA7">
            <w:pPr>
              <w:pStyle w:val="186"/>
              <w:spacing w:before="26"/>
              <w:ind w:left="797" w:firstLine="0" w:firstLineChars="0"/>
              <w:jc w:val="left"/>
              <w:rPr>
                <w:sz w:val="24"/>
              </w:rPr>
            </w:pPr>
            <w:r>
              <w:rPr>
                <w:spacing w:val="-5"/>
                <w:sz w:val="24"/>
              </w:rPr>
              <w:t>50%</w:t>
            </w:r>
          </w:p>
        </w:tc>
      </w:tr>
      <w:tr w14:paraId="57AF8D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1910" w:type="dxa"/>
            <w:vMerge w:val="continue"/>
            <w:tcBorders>
              <w:top w:val="nil"/>
            </w:tcBorders>
            <w:noWrap w:val="0"/>
            <w:vAlign w:val="top"/>
          </w:tcPr>
          <w:p w14:paraId="47ECF530">
            <w:pPr>
              <w:ind w:firstLine="0" w:firstLineChars="0"/>
              <w:rPr>
                <w:sz w:val="2"/>
                <w:szCs w:val="2"/>
              </w:rPr>
            </w:pPr>
          </w:p>
        </w:tc>
        <w:tc>
          <w:tcPr>
            <w:tcW w:w="2529" w:type="dxa"/>
            <w:noWrap w:val="0"/>
            <w:vAlign w:val="top"/>
          </w:tcPr>
          <w:p w14:paraId="510810FC">
            <w:pPr>
              <w:pStyle w:val="186"/>
              <w:spacing w:before="26"/>
              <w:ind w:left="408" w:right="402" w:firstLine="0" w:firstLineChars="0"/>
              <w:rPr>
                <w:sz w:val="24"/>
              </w:rPr>
            </w:pPr>
            <w:r>
              <w:rPr>
                <w:spacing w:val="-5"/>
                <w:sz w:val="24"/>
              </w:rPr>
              <w:t>三等</w:t>
            </w:r>
          </w:p>
        </w:tc>
        <w:tc>
          <w:tcPr>
            <w:tcW w:w="1939" w:type="dxa"/>
            <w:noWrap w:val="0"/>
            <w:vAlign w:val="top"/>
          </w:tcPr>
          <w:p w14:paraId="77BD7F6A">
            <w:pPr>
              <w:pStyle w:val="186"/>
              <w:spacing w:before="26"/>
              <w:ind w:left="236" w:right="225" w:firstLine="0" w:firstLineChars="0"/>
              <w:rPr>
                <w:sz w:val="24"/>
              </w:rPr>
            </w:pPr>
            <w:r>
              <w:rPr>
                <w:spacing w:val="-5"/>
                <w:sz w:val="24"/>
              </w:rPr>
              <w:t>0.6</w:t>
            </w:r>
          </w:p>
        </w:tc>
        <w:tc>
          <w:tcPr>
            <w:tcW w:w="1963" w:type="dxa"/>
            <w:noWrap w:val="0"/>
            <w:vAlign w:val="top"/>
          </w:tcPr>
          <w:p w14:paraId="74A85B76">
            <w:pPr>
              <w:pStyle w:val="186"/>
              <w:spacing w:before="26"/>
              <w:ind w:left="797" w:firstLine="0" w:firstLineChars="0"/>
              <w:jc w:val="left"/>
              <w:rPr>
                <w:sz w:val="24"/>
              </w:rPr>
            </w:pPr>
            <w:r>
              <w:rPr>
                <w:spacing w:val="-5"/>
                <w:sz w:val="24"/>
              </w:rPr>
              <w:t>30%</w:t>
            </w:r>
          </w:p>
        </w:tc>
      </w:tr>
    </w:tbl>
    <w:p w14:paraId="667BDBD0">
      <w:pPr>
        <w:pStyle w:val="185"/>
        <w:spacing w:before="0" w:after="0"/>
        <w:ind w:firstLine="562"/>
        <w:outlineLvl w:val="9"/>
        <w:rPr>
          <w:rFonts w:hint="eastAsia" w:ascii="仿宋_GB2312" w:hAnsi="仿宋_GB2312" w:eastAsia="仿宋_GB2312" w:cs="仿宋_GB2312"/>
          <w:b w:val="0"/>
          <w:sz w:val="28"/>
          <w:szCs w:val="28"/>
        </w:rPr>
      </w:pPr>
      <w:r>
        <w:rPr>
          <w:rFonts w:hint="eastAsia" w:ascii="仿宋_GB2312" w:hAnsi="仿宋_GB2312" w:eastAsia="仿宋_GB2312" w:cs="仿宋_GB2312"/>
          <w:bCs w:val="0"/>
          <w:sz w:val="28"/>
          <w:szCs w:val="28"/>
          <w:lang w:val="en-US" w:eastAsia="zh-CN"/>
        </w:rPr>
        <w:t>第十七条</w:t>
      </w:r>
      <w:r>
        <w:rPr>
          <w:rFonts w:hint="eastAsia" w:ascii="仿宋_GB2312" w:hAnsi="仿宋_GB2312" w:eastAsia="仿宋_GB2312" w:cs="仿宋_GB2312"/>
          <w:b w:val="0"/>
          <w:sz w:val="28"/>
          <w:szCs w:val="28"/>
          <w:lang w:val="en-US" w:eastAsia="zh-CN"/>
        </w:rPr>
        <w:t xml:space="preserve"> </w:t>
      </w:r>
      <w:r>
        <w:rPr>
          <w:rFonts w:hint="eastAsia" w:ascii="仿宋_GB2312" w:hAnsi="仿宋_GB2312" w:eastAsia="仿宋_GB2312" w:cs="仿宋_GB2312"/>
          <w:b w:val="0"/>
          <w:sz w:val="28"/>
          <w:szCs w:val="28"/>
        </w:rPr>
        <w:t>评审要求及办法</w:t>
      </w:r>
    </w:p>
    <w:p w14:paraId="5D438AA5">
      <w:pPr>
        <w:pStyle w:val="185"/>
        <w:spacing w:before="0" w:after="0"/>
        <w:ind w:firstLine="560"/>
        <w:outlineLvl w:val="9"/>
        <w:rPr>
          <w:rFonts w:hint="eastAsia" w:ascii="仿宋_GB2312" w:hAnsi="仿宋_GB2312" w:eastAsia="仿宋_GB2312" w:cs="仿宋_GB2312"/>
          <w:b w:val="0"/>
          <w:sz w:val="28"/>
          <w:szCs w:val="28"/>
          <w:lang w:val="en-US" w:eastAsia="zh-CN"/>
        </w:rPr>
      </w:pPr>
      <w:r>
        <w:rPr>
          <w:rFonts w:hint="eastAsia" w:ascii="仿宋_GB2312" w:hAnsi="仿宋_GB2312" w:eastAsia="仿宋_GB2312" w:cs="仿宋_GB2312"/>
          <w:b w:val="0"/>
          <w:sz w:val="28"/>
          <w:szCs w:val="28"/>
          <w:lang w:eastAsia="zh-CN"/>
        </w:rPr>
        <w:t>（</w:t>
      </w:r>
      <w:r>
        <w:rPr>
          <w:rFonts w:hint="eastAsia" w:ascii="仿宋_GB2312" w:hAnsi="仿宋_GB2312" w:eastAsia="仿宋_GB2312" w:cs="仿宋_GB2312"/>
          <w:b w:val="0"/>
          <w:sz w:val="28"/>
          <w:szCs w:val="28"/>
          <w:lang w:val="en-US" w:eastAsia="zh-CN"/>
        </w:rPr>
        <w:t>一</w:t>
      </w:r>
      <w:r>
        <w:rPr>
          <w:rFonts w:hint="eastAsia" w:ascii="仿宋_GB2312" w:hAnsi="仿宋_GB2312" w:eastAsia="仿宋_GB2312" w:cs="仿宋_GB2312"/>
          <w:b w:val="0"/>
          <w:sz w:val="28"/>
          <w:szCs w:val="28"/>
          <w:lang w:eastAsia="zh-CN"/>
        </w:rPr>
        <w:t>）</w:t>
      </w:r>
      <w:r>
        <w:rPr>
          <w:rFonts w:hint="eastAsia" w:ascii="仿宋_GB2312" w:hAnsi="仿宋_GB2312" w:eastAsia="仿宋_GB2312" w:cs="仿宋_GB2312"/>
          <w:b w:val="0"/>
          <w:sz w:val="28"/>
          <w:szCs w:val="28"/>
          <w:lang w:val="en-US" w:eastAsia="zh-CN"/>
        </w:rPr>
        <w:t>硕士研究生学业奖学金评审标准</w:t>
      </w:r>
    </w:p>
    <w:p w14:paraId="5220CD79">
      <w:pPr>
        <w:pStyle w:val="185"/>
        <w:spacing w:before="0" w:after="0"/>
        <w:ind w:firstLine="560"/>
        <w:outlineLvl w:val="9"/>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硕士研究生学业奖学金评审的内容包括课程成绩、科研创新成果、学术表现、德育、体育、美育、劳育活动的参与情况等。新生学业奖学金根据初试和复试成绩综合评定。各类推荐免试硕士研究生第一学年按一等奖学金资助。“少数民族高层次骨干人才计划”研究生在校第一学年按二等学业奖学金资助。专业硕士研究生二年级校外专业实践考核分为优秀（90-100 分）、良好（80-89 分）、中（70-79 分）、及格（60-69 分）和不及格（60 分以下）五个等级，纳入课程成绩一起计算。</w:t>
      </w:r>
    </w:p>
    <w:p w14:paraId="649AD3FB">
      <w:pPr>
        <w:pStyle w:val="185"/>
        <w:spacing w:before="0" w:after="0"/>
        <w:ind w:firstLine="560"/>
        <w:outlineLvl w:val="9"/>
        <w:rPr>
          <w:rFonts w:hint="eastAsia" w:ascii="仿宋_GB2312" w:hAnsi="仿宋_GB2312" w:eastAsia="仿宋_GB2312" w:cs="仿宋_GB2312"/>
          <w:b w:val="0"/>
          <w:sz w:val="28"/>
          <w:szCs w:val="28"/>
          <w:lang w:val="en-US" w:eastAsia="zh-CN"/>
        </w:rPr>
      </w:pPr>
      <w:r>
        <w:rPr>
          <w:rFonts w:hint="eastAsia" w:ascii="仿宋_GB2312" w:hAnsi="仿宋_GB2312" w:eastAsia="仿宋_GB2312" w:cs="仿宋_GB2312"/>
          <w:b w:val="0"/>
          <w:sz w:val="28"/>
          <w:szCs w:val="28"/>
          <w:lang w:eastAsia="zh-CN"/>
        </w:rPr>
        <w:t>（</w:t>
      </w:r>
      <w:r>
        <w:rPr>
          <w:rFonts w:hint="eastAsia" w:ascii="仿宋_GB2312" w:hAnsi="仿宋_GB2312" w:eastAsia="仿宋_GB2312" w:cs="仿宋_GB2312"/>
          <w:b w:val="0"/>
          <w:sz w:val="28"/>
          <w:szCs w:val="28"/>
          <w:lang w:val="en-US" w:eastAsia="zh-CN"/>
        </w:rPr>
        <w:t>二</w:t>
      </w:r>
      <w:r>
        <w:rPr>
          <w:rFonts w:hint="eastAsia" w:ascii="仿宋_GB2312" w:hAnsi="仿宋_GB2312" w:eastAsia="仿宋_GB2312" w:cs="仿宋_GB2312"/>
          <w:b w:val="0"/>
          <w:sz w:val="28"/>
          <w:szCs w:val="28"/>
          <w:lang w:eastAsia="zh-CN"/>
        </w:rPr>
        <w:t>）</w:t>
      </w:r>
      <w:r>
        <w:rPr>
          <w:rFonts w:hint="eastAsia" w:ascii="仿宋_GB2312" w:hAnsi="仿宋_GB2312" w:eastAsia="仿宋_GB2312" w:cs="仿宋_GB2312"/>
          <w:b w:val="0"/>
          <w:sz w:val="28"/>
          <w:szCs w:val="28"/>
          <w:lang w:val="en-US" w:eastAsia="zh-CN"/>
        </w:rPr>
        <w:t>博士研究生学业奖学金评审标准</w:t>
      </w:r>
    </w:p>
    <w:p w14:paraId="24493064">
      <w:pPr>
        <w:pStyle w:val="185"/>
        <w:spacing w:before="0" w:after="0"/>
        <w:ind w:firstLine="560"/>
        <w:outlineLvl w:val="9"/>
        <w:rPr>
          <w:rFonts w:hint="eastAsia" w:ascii="仿宋_GB2312" w:hAnsi="仿宋_GB2312" w:eastAsia="仿宋_GB2312" w:cs="仿宋_GB2312"/>
          <w:b w:val="0"/>
          <w:sz w:val="28"/>
          <w:szCs w:val="28"/>
          <w:lang w:val="en-US" w:eastAsia="zh-CN"/>
        </w:rPr>
      </w:pPr>
      <w:r>
        <w:rPr>
          <w:rFonts w:hint="eastAsia" w:ascii="仿宋_GB2312" w:hAnsi="仿宋_GB2312" w:eastAsia="仿宋_GB2312" w:cs="仿宋_GB2312"/>
          <w:b w:val="0"/>
          <w:sz w:val="28"/>
          <w:szCs w:val="28"/>
          <w:lang w:val="en-US" w:eastAsia="zh-CN"/>
        </w:rPr>
        <w:t>博士研究生学业奖学金评审的内容包括课程成绩、学术成果、导师评价、德育、体育、美育、劳育活动的参与情况等。博士研究生新生学业奖学金参照博士入学成绩及导师评价综合评定。提前攻读博士学位研究生第一学年按一等奖学金资助。“少数民族高层次骨干人才计划”研究生在校第一学年按二等学业奖学金资助。</w:t>
      </w:r>
    </w:p>
    <w:p w14:paraId="14E69D53">
      <w:pPr>
        <w:ind w:firstLine="564"/>
        <w:rPr>
          <w:rFonts w:hint="eastAsia" w:ascii="仿宋_GB2312" w:hAnsi="仿宋_GB2312" w:eastAsia="仿宋_GB2312" w:cs="仿宋_GB2312"/>
          <w:spacing w:val="1"/>
          <w:sz w:val="28"/>
          <w:szCs w:val="28"/>
        </w:rPr>
      </w:pPr>
      <w:r>
        <w:rPr>
          <w:rFonts w:hint="eastAsia" w:ascii="仿宋_GB2312" w:hAnsi="仿宋_GB2312" w:eastAsia="仿宋_GB2312" w:cs="仿宋_GB2312"/>
          <w:spacing w:val="1"/>
          <w:sz w:val="28"/>
          <w:szCs w:val="28"/>
        </w:rPr>
        <w:t>（三）学院评审工作按照《武汉理工大学信息工程学院研究生综合素质测评体系》（附件</w:t>
      </w:r>
      <w:r>
        <w:rPr>
          <w:rFonts w:hint="eastAsia" w:ascii="仿宋_GB2312" w:hAnsi="仿宋_GB2312" w:eastAsia="仿宋_GB2312" w:cs="仿宋_GB2312"/>
          <w:spacing w:val="1"/>
          <w:sz w:val="28"/>
          <w:szCs w:val="28"/>
          <w:lang w:val="en-US" w:eastAsia="zh-CN"/>
        </w:rPr>
        <w:t>4</w:t>
      </w:r>
      <w:r>
        <w:rPr>
          <w:rFonts w:hint="eastAsia" w:ascii="仿宋_GB2312" w:hAnsi="仿宋_GB2312" w:eastAsia="仿宋_GB2312" w:cs="仿宋_GB2312"/>
          <w:spacing w:val="1"/>
          <w:sz w:val="28"/>
          <w:szCs w:val="28"/>
        </w:rPr>
        <w:t>）进行量化评分，本着“公正、公平、公开”的原则，由学院奖学金评委会根据奖学金申请者的条件、支撑材料，按各类别的综合素质测评总分由高到低依次确定等级。参评对象的评奖材料有效时间为：上一年9月1日至本年8月31日，以材料的落款时间为依据。</w:t>
      </w:r>
    </w:p>
    <w:p w14:paraId="268DC3DF">
      <w:pPr>
        <w:ind w:firstLine="564"/>
        <w:rPr>
          <w:rFonts w:hint="eastAsia" w:ascii="仿宋_GB2312" w:hAnsi="仿宋_GB2312" w:eastAsia="仿宋_GB2312" w:cs="仿宋_GB2312"/>
          <w:spacing w:val="1"/>
          <w:sz w:val="28"/>
          <w:szCs w:val="28"/>
        </w:rPr>
      </w:pPr>
      <w:r>
        <w:rPr>
          <w:rFonts w:hint="eastAsia" w:ascii="仿宋_GB2312" w:hAnsi="仿宋_GB2312" w:eastAsia="仿宋_GB2312" w:cs="仿宋_GB2312"/>
          <w:spacing w:val="1"/>
          <w:sz w:val="28"/>
          <w:szCs w:val="28"/>
        </w:rPr>
        <w:t>（四）在同一学年度同一成果获不同竞赛或不同等级奖项按最高等级计算；同一成果在不同学年度获不同等级，按所在学年度获奖等级计算（下一学年加分需减去已加分值）。</w:t>
      </w:r>
    </w:p>
    <w:p w14:paraId="661BF2D2">
      <w:pPr>
        <w:pStyle w:val="185"/>
        <w:spacing w:before="0" w:after="0"/>
        <w:ind w:firstLine="562"/>
        <w:outlineLvl w:val="9"/>
        <w:rPr>
          <w:rFonts w:hint="eastAsia" w:ascii="仿宋_GB2312" w:hAnsi="仿宋_GB2312" w:eastAsia="仿宋_GB2312" w:cs="仿宋_GB2312"/>
          <w:b w:val="0"/>
          <w:sz w:val="28"/>
          <w:szCs w:val="28"/>
        </w:rPr>
      </w:pPr>
      <w:r>
        <w:rPr>
          <w:rFonts w:hint="eastAsia" w:ascii="仿宋_GB2312" w:hAnsi="仿宋_GB2312" w:eastAsia="仿宋_GB2312" w:cs="仿宋_GB2312"/>
          <w:bCs w:val="0"/>
          <w:sz w:val="28"/>
          <w:szCs w:val="28"/>
          <w:lang w:val="en-US" w:eastAsia="zh-CN"/>
        </w:rPr>
        <w:t>第十八条</w:t>
      </w:r>
      <w:r>
        <w:rPr>
          <w:rFonts w:hint="eastAsia" w:ascii="仿宋_GB2312" w:hAnsi="仿宋_GB2312" w:eastAsia="仿宋_GB2312" w:cs="仿宋_GB2312"/>
          <w:b w:val="0"/>
          <w:sz w:val="28"/>
          <w:szCs w:val="28"/>
          <w:lang w:val="en-US" w:eastAsia="zh-CN"/>
        </w:rPr>
        <w:t xml:space="preserve"> </w:t>
      </w:r>
      <w:r>
        <w:rPr>
          <w:rFonts w:hint="eastAsia" w:ascii="仿宋_GB2312" w:hAnsi="仿宋_GB2312" w:eastAsia="仿宋_GB2312" w:cs="仿宋_GB2312"/>
          <w:b w:val="0"/>
          <w:sz w:val="28"/>
          <w:szCs w:val="28"/>
        </w:rPr>
        <w:t>评审程序</w:t>
      </w:r>
    </w:p>
    <w:p w14:paraId="38626235">
      <w:pPr>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1.研究生本人</w:t>
      </w:r>
      <w:r>
        <w:rPr>
          <w:rFonts w:hint="eastAsia" w:ascii="仿宋_GB2312" w:hAnsi="仿宋_GB2312" w:eastAsia="仿宋_GB2312" w:cs="仿宋_GB2312"/>
          <w:sz w:val="28"/>
          <w:szCs w:val="28"/>
          <w:lang w:val="en-US" w:eastAsia="zh-CN"/>
        </w:rPr>
        <w:t>对照《武汉理工大学信息工程学院研究生综合素质测评体系》（附件4）</w:t>
      </w:r>
      <w:r>
        <w:rPr>
          <w:rFonts w:hint="eastAsia" w:ascii="仿宋_GB2312" w:hAnsi="仿宋_GB2312" w:eastAsia="仿宋_GB2312" w:cs="仿宋_GB2312"/>
          <w:sz w:val="28"/>
          <w:szCs w:val="28"/>
        </w:rPr>
        <w:t>填写并提交</w:t>
      </w:r>
      <w:r>
        <w:rPr>
          <w:rFonts w:hint="eastAsia" w:ascii="仿宋_GB2312" w:hAnsi="仿宋_GB2312" w:eastAsia="仿宋_GB2312" w:cs="仿宋_GB2312"/>
          <w:spacing w:val="1"/>
          <w:sz w:val="28"/>
          <w:szCs w:val="28"/>
        </w:rPr>
        <w:t>《信息工程学院研究生综合素质测评评分汇总表（研究生学业奖学金用）》（附件</w:t>
      </w:r>
      <w:r>
        <w:rPr>
          <w:rFonts w:hint="eastAsia" w:ascii="仿宋_GB2312" w:hAnsi="仿宋_GB2312" w:eastAsia="仿宋_GB2312" w:cs="仿宋_GB2312"/>
          <w:spacing w:val="1"/>
          <w:sz w:val="28"/>
          <w:szCs w:val="28"/>
          <w:lang w:val="en-US" w:eastAsia="zh-CN"/>
        </w:rPr>
        <w:t>3</w:t>
      </w:r>
      <w:r>
        <w:rPr>
          <w:rFonts w:hint="eastAsia" w:ascii="仿宋_GB2312" w:hAnsi="仿宋_GB2312" w:eastAsia="仿宋_GB2312" w:cs="仿宋_GB2312"/>
          <w:spacing w:val="1"/>
          <w:sz w:val="28"/>
          <w:szCs w:val="28"/>
        </w:rPr>
        <w:t>）</w:t>
      </w:r>
      <w:r>
        <w:rPr>
          <w:rFonts w:hint="eastAsia" w:ascii="仿宋_GB2312" w:hAnsi="仿宋_GB2312" w:eastAsia="仿宋_GB2312" w:cs="仿宋_GB2312"/>
          <w:sz w:val="28"/>
          <w:szCs w:val="28"/>
        </w:rPr>
        <w:t>，同时必须提交</w:t>
      </w:r>
      <w:r>
        <w:rPr>
          <w:rFonts w:hint="eastAsia" w:ascii="仿宋_GB2312" w:hAnsi="仿宋_GB2312" w:eastAsia="仿宋_GB2312" w:cs="仿宋_GB2312"/>
          <w:sz w:val="28"/>
          <w:szCs w:val="28"/>
          <w:lang w:val="en-US" w:eastAsia="zh-CN"/>
        </w:rPr>
        <w:t>评分</w:t>
      </w:r>
      <w:r>
        <w:rPr>
          <w:rFonts w:hint="eastAsia" w:ascii="仿宋_GB2312" w:hAnsi="仿宋_GB2312" w:eastAsia="仿宋_GB2312" w:cs="仿宋_GB2312"/>
          <w:sz w:val="28"/>
          <w:szCs w:val="28"/>
        </w:rPr>
        <w:t>的相关附件材料。导师加分项由学院学生工作办公室负责</w:t>
      </w:r>
      <w:r>
        <w:rPr>
          <w:rFonts w:hint="eastAsia" w:ascii="仿宋_GB2312" w:hAnsi="仿宋_GB2312" w:eastAsia="仿宋_GB2312" w:cs="仿宋_GB2312"/>
          <w:sz w:val="28"/>
          <w:szCs w:val="28"/>
          <w:lang w:val="en-US" w:eastAsia="zh-CN"/>
        </w:rPr>
        <w:t>整理</w:t>
      </w:r>
      <w:r>
        <w:rPr>
          <w:rFonts w:hint="eastAsia" w:ascii="仿宋_GB2312" w:hAnsi="仿宋_GB2312" w:eastAsia="仿宋_GB2312" w:cs="仿宋_GB2312"/>
          <w:sz w:val="28"/>
          <w:szCs w:val="28"/>
        </w:rPr>
        <w:t>。</w:t>
      </w:r>
    </w:p>
    <w:p w14:paraId="0C7AD10D">
      <w:pPr>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2.班级评审小组对每位研究生提交的材料进行初审。并将涉及论文、专利等项目按规定给出相应分值。</w:t>
      </w:r>
    </w:p>
    <w:p w14:paraId="015E67EF">
      <w:pPr>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3.学院奖学金评委会对学生学科竞赛获奖情况、论文发表情况等进行复核。</w:t>
      </w:r>
    </w:p>
    <w:p w14:paraId="11C7947D">
      <w:pPr>
        <w:ind w:firstLine="560"/>
        <w:rPr>
          <w:rFonts w:hint="eastAsia"/>
          <w:szCs w:val="28"/>
        </w:rPr>
      </w:pPr>
      <w:r>
        <w:rPr>
          <w:rFonts w:hint="eastAsia" w:ascii="仿宋_GB2312" w:hAnsi="仿宋_GB2312" w:eastAsia="仿宋_GB2312" w:cs="仿宋_GB2312"/>
          <w:sz w:val="28"/>
          <w:szCs w:val="28"/>
        </w:rPr>
        <w:t>4.</w:t>
      </w:r>
      <w:r>
        <w:rPr>
          <w:rFonts w:hint="eastAsia" w:ascii="仿宋_GB2312" w:hAnsi="仿宋_GB2312" w:eastAsia="仿宋_GB2312" w:cs="仿宋_GB2312"/>
          <w:bCs/>
          <w:sz w:val="28"/>
          <w:szCs w:val="28"/>
        </w:rPr>
        <w:t>经学院奖学金评委会</w:t>
      </w:r>
      <w:r>
        <w:rPr>
          <w:rFonts w:hint="eastAsia" w:ascii="仿宋_GB2312" w:hAnsi="仿宋_GB2312" w:eastAsia="仿宋_GB2312" w:cs="仿宋_GB2312"/>
          <w:spacing w:val="1"/>
          <w:sz w:val="28"/>
          <w:szCs w:val="28"/>
        </w:rPr>
        <w:t>评议，形成学业奖学金名单后，公示3个工作日。</w:t>
      </w:r>
      <w:r>
        <w:rPr>
          <w:rFonts w:hint="eastAsia" w:ascii="仿宋_GB2312" w:hAnsi="仿宋_GB2312" w:eastAsia="仿宋_GB2312" w:cs="仿宋_GB2312"/>
          <w:sz w:val="28"/>
          <w:szCs w:val="28"/>
        </w:rPr>
        <w:t>公示无异议后，将评审结果上报</w:t>
      </w:r>
      <w:r>
        <w:rPr>
          <w:rFonts w:hint="eastAsia" w:ascii="仿宋_GB2312" w:hAnsi="仿宋_GB2312" w:eastAsia="仿宋_GB2312" w:cs="仿宋_GB2312"/>
          <w:sz w:val="28"/>
          <w:szCs w:val="28"/>
          <w:lang w:val="en-US" w:eastAsia="zh-CN"/>
        </w:rPr>
        <w:t>党委研究生工作部</w:t>
      </w:r>
      <w:r>
        <w:rPr>
          <w:rFonts w:hint="eastAsia" w:ascii="仿宋_GB2312" w:hAnsi="仿宋_GB2312" w:eastAsia="仿宋_GB2312" w:cs="仿宋_GB2312"/>
          <w:sz w:val="28"/>
          <w:szCs w:val="28"/>
        </w:rPr>
        <w:t>审批。</w:t>
      </w:r>
    </w:p>
    <w:p w14:paraId="32AB1DE6">
      <w:pPr>
        <w:pStyle w:val="3"/>
        <w:rPr>
          <w:rFonts w:hint="eastAsia"/>
          <w:szCs w:val="28"/>
        </w:rPr>
      </w:pPr>
      <w:r>
        <w:rPr>
          <w:rFonts w:hint="eastAsia"/>
          <w:szCs w:val="28"/>
        </w:rPr>
        <w:t>第</w:t>
      </w:r>
      <w:r>
        <w:rPr>
          <w:rFonts w:hint="eastAsia"/>
          <w:szCs w:val="28"/>
          <w:lang w:val="en-US" w:eastAsia="zh-CN"/>
        </w:rPr>
        <w:t>五</w:t>
      </w:r>
      <w:r>
        <w:rPr>
          <w:rFonts w:hint="eastAsia"/>
          <w:szCs w:val="28"/>
        </w:rPr>
        <w:t xml:space="preserve">章 </w:t>
      </w:r>
      <w:r>
        <w:rPr>
          <w:szCs w:val="28"/>
        </w:rPr>
        <w:t xml:space="preserve"> </w:t>
      </w:r>
      <w:r>
        <w:rPr>
          <w:rFonts w:hint="eastAsia"/>
          <w:szCs w:val="28"/>
        </w:rPr>
        <w:t>附 则</w:t>
      </w:r>
    </w:p>
    <w:p w14:paraId="6367D66F">
      <w:pPr>
        <w:ind w:firstLine="560"/>
        <w:rPr>
          <w:rFonts w:hint="eastAsia" w:eastAsia="仿宋_GB2312"/>
          <w:sz w:val="28"/>
          <w:szCs w:val="28"/>
        </w:rPr>
      </w:pPr>
      <w:r>
        <w:rPr>
          <w:rFonts w:hint="eastAsia" w:eastAsia="仿宋_GB2312"/>
          <w:b/>
          <w:sz w:val="28"/>
          <w:szCs w:val="28"/>
        </w:rPr>
        <w:t>第</w:t>
      </w:r>
      <w:r>
        <w:rPr>
          <w:rFonts w:hint="eastAsia" w:eastAsia="仿宋_GB2312"/>
          <w:b/>
          <w:sz w:val="28"/>
          <w:szCs w:val="28"/>
          <w:lang w:val="en-US" w:eastAsia="zh-CN"/>
        </w:rPr>
        <w:t>十九</w:t>
      </w:r>
      <w:r>
        <w:rPr>
          <w:rFonts w:hint="eastAsia" w:eastAsia="仿宋_GB2312"/>
          <w:b/>
          <w:sz w:val="28"/>
          <w:szCs w:val="28"/>
        </w:rPr>
        <w:t>条</w:t>
      </w:r>
      <w:r>
        <w:rPr>
          <w:rFonts w:hint="eastAsia" w:eastAsia="仿宋_GB2312"/>
          <w:sz w:val="28"/>
          <w:szCs w:val="28"/>
        </w:rPr>
        <w:t xml:space="preserve"> 同一学年内，获得国家奖学金的研究生可以申请学校研究生其它奖学金。研究生所提供的各项评审材料必须真实可靠，如发现弄虚作假行为，即取消当年所有奖学金参评资格，已发放的奖学金予以追回，并视其造成的影响按学校有关规定处理。</w:t>
      </w:r>
    </w:p>
    <w:p w14:paraId="075C5168">
      <w:pPr>
        <w:ind w:firstLine="560"/>
        <w:rPr>
          <w:rFonts w:eastAsia="仿宋_GB2312"/>
          <w:sz w:val="28"/>
          <w:szCs w:val="28"/>
        </w:rPr>
      </w:pPr>
      <w:r>
        <w:rPr>
          <w:rFonts w:hint="eastAsia" w:eastAsia="仿宋_GB2312"/>
          <w:b/>
          <w:sz w:val="28"/>
          <w:szCs w:val="28"/>
        </w:rPr>
        <w:t xml:space="preserve">第二十条 </w:t>
      </w:r>
      <w:r>
        <w:rPr>
          <w:rFonts w:hint="eastAsia" w:eastAsia="仿宋_GB2312"/>
          <w:sz w:val="28"/>
          <w:szCs w:val="28"/>
        </w:rPr>
        <w:t>博士研究生获卓越奖学金资助，申请学位答辩前需至少多获得1项Ⅱ类学术成果。</w:t>
      </w:r>
    </w:p>
    <w:p w14:paraId="73D042DF">
      <w:pPr>
        <w:ind w:firstLine="560"/>
        <w:rPr>
          <w:rFonts w:eastAsia="仿宋_GB2312"/>
          <w:sz w:val="28"/>
          <w:szCs w:val="28"/>
        </w:rPr>
      </w:pPr>
      <w:r>
        <w:rPr>
          <w:rFonts w:hint="eastAsia" w:eastAsia="仿宋_GB2312"/>
          <w:b/>
          <w:sz w:val="28"/>
          <w:szCs w:val="28"/>
        </w:rPr>
        <w:t>第二十</w:t>
      </w:r>
      <w:r>
        <w:rPr>
          <w:rFonts w:hint="eastAsia" w:eastAsia="仿宋_GB2312"/>
          <w:b/>
          <w:sz w:val="28"/>
          <w:szCs w:val="28"/>
          <w:lang w:val="en-US" w:eastAsia="zh-CN"/>
        </w:rPr>
        <w:t>一</w:t>
      </w:r>
      <w:r>
        <w:rPr>
          <w:rFonts w:hint="eastAsia" w:eastAsia="仿宋_GB2312"/>
          <w:b/>
          <w:sz w:val="28"/>
          <w:szCs w:val="28"/>
        </w:rPr>
        <w:t xml:space="preserve">条 </w:t>
      </w:r>
      <w:r>
        <w:rPr>
          <w:rFonts w:hint="eastAsia" w:eastAsia="仿宋_GB2312"/>
          <w:sz w:val="28"/>
          <w:szCs w:val="28"/>
        </w:rPr>
        <w:t>发表论文要求：研究生本人为第一作者或通讯作者（共一作者只认定第一作者）或指导教师为第一作者，研究生本人为第二作者，公开发表第一署名单位为武汉理工大学或本校的联合培养基地，所有学术论文应见刊（含线上见刊）；</w:t>
      </w:r>
    </w:p>
    <w:p w14:paraId="4EFFF4AA">
      <w:pPr>
        <w:ind w:firstLine="560"/>
        <w:rPr>
          <w:rFonts w:hint="eastAsia" w:eastAsia="仿宋_GB2312"/>
          <w:sz w:val="28"/>
          <w:szCs w:val="28"/>
          <w:lang w:eastAsia="zh-CN"/>
        </w:rPr>
      </w:pPr>
      <w:r>
        <w:rPr>
          <w:rFonts w:hint="eastAsia" w:eastAsia="仿宋_GB2312"/>
          <w:sz w:val="28"/>
          <w:szCs w:val="28"/>
        </w:rPr>
        <w:t>专利要求：专利授权须研究生为第一</w:t>
      </w:r>
      <w:r>
        <w:rPr>
          <w:rFonts w:hint="eastAsia" w:eastAsia="仿宋_GB2312"/>
          <w:sz w:val="28"/>
          <w:szCs w:val="28"/>
          <w:lang w:val="en-US" w:eastAsia="zh-CN"/>
        </w:rPr>
        <w:t>发明人</w:t>
      </w:r>
      <w:r>
        <w:rPr>
          <w:rFonts w:hint="eastAsia" w:eastAsia="仿宋_GB2312"/>
          <w:sz w:val="28"/>
          <w:szCs w:val="28"/>
        </w:rPr>
        <w:t>，</w:t>
      </w:r>
      <w:r>
        <w:rPr>
          <w:rFonts w:hint="eastAsia" w:eastAsia="仿宋_GB2312"/>
          <w:sz w:val="28"/>
          <w:szCs w:val="28"/>
          <w:lang w:val="en-US" w:eastAsia="zh-CN"/>
        </w:rPr>
        <w:t>或</w:t>
      </w:r>
      <w:r>
        <w:rPr>
          <w:rFonts w:hint="eastAsia" w:eastAsia="仿宋_GB2312"/>
          <w:sz w:val="28"/>
          <w:szCs w:val="28"/>
        </w:rPr>
        <w:t>去除导师后</w:t>
      </w:r>
      <w:r>
        <w:rPr>
          <w:rFonts w:hint="eastAsia" w:eastAsia="仿宋_GB2312"/>
          <w:sz w:val="28"/>
          <w:szCs w:val="28"/>
          <w:lang w:val="en-US" w:eastAsia="zh-CN"/>
        </w:rPr>
        <w:t>研究生</w:t>
      </w:r>
      <w:r>
        <w:rPr>
          <w:rFonts w:hint="eastAsia" w:eastAsia="仿宋_GB2312"/>
          <w:sz w:val="28"/>
          <w:szCs w:val="28"/>
        </w:rPr>
        <w:t>排名</w:t>
      </w:r>
      <w:r>
        <w:rPr>
          <w:rFonts w:hint="eastAsia" w:eastAsia="仿宋_GB2312"/>
          <w:sz w:val="28"/>
          <w:szCs w:val="28"/>
          <w:lang w:val="en-US" w:eastAsia="zh-CN"/>
        </w:rPr>
        <w:t>前两位</w:t>
      </w:r>
      <w:r>
        <w:rPr>
          <w:rFonts w:hint="eastAsia" w:eastAsia="仿宋_GB2312"/>
          <w:sz w:val="28"/>
          <w:szCs w:val="28"/>
        </w:rPr>
        <w:t>。</w:t>
      </w:r>
      <w:r>
        <w:rPr>
          <w:rFonts w:hint="eastAsia" w:eastAsia="仿宋_GB2312"/>
          <w:sz w:val="28"/>
          <w:szCs w:val="28"/>
          <w:lang w:val="en-US" w:eastAsia="zh-CN"/>
        </w:rPr>
        <w:t>专利权人</w:t>
      </w:r>
      <w:r>
        <w:rPr>
          <w:rFonts w:hint="eastAsia" w:eastAsia="仿宋_GB2312"/>
          <w:sz w:val="28"/>
          <w:szCs w:val="28"/>
        </w:rPr>
        <w:t>为武汉理工大学</w:t>
      </w:r>
      <w:r>
        <w:rPr>
          <w:rFonts w:hint="eastAsia" w:eastAsia="仿宋_GB2312"/>
          <w:sz w:val="28"/>
          <w:szCs w:val="28"/>
          <w:lang w:eastAsia="zh-CN"/>
        </w:rPr>
        <w:t>；</w:t>
      </w:r>
    </w:p>
    <w:p w14:paraId="0BDD69C9">
      <w:pPr>
        <w:ind w:firstLine="560"/>
        <w:rPr>
          <w:rFonts w:hint="eastAsia" w:eastAsia="仿宋_GB2312"/>
          <w:sz w:val="28"/>
          <w:szCs w:val="28"/>
        </w:rPr>
      </w:pPr>
      <w:r>
        <w:rPr>
          <w:rFonts w:hint="eastAsia" w:eastAsia="仿宋_GB2312"/>
          <w:sz w:val="28"/>
          <w:szCs w:val="28"/>
        </w:rPr>
        <w:t>研究生学术科技竞赛范围以研究生院认定的《研究生高水平竞赛项目认定清单》（</w:t>
      </w:r>
      <w:r>
        <w:rPr>
          <w:rFonts w:hint="eastAsia" w:eastAsia="仿宋_GB2312"/>
          <w:sz w:val="28"/>
          <w:szCs w:val="28"/>
          <w:lang w:eastAsia="zh-CN"/>
        </w:rPr>
        <w:t>附件5</w:t>
      </w:r>
      <w:r>
        <w:rPr>
          <w:rFonts w:hint="eastAsia" w:eastAsia="仿宋_GB2312"/>
          <w:sz w:val="28"/>
          <w:szCs w:val="28"/>
        </w:rPr>
        <w:t>）为准。</w:t>
      </w:r>
    </w:p>
    <w:p w14:paraId="7D052A09">
      <w:pPr>
        <w:ind w:firstLine="560"/>
        <w:rPr>
          <w:rFonts w:hint="eastAsia" w:eastAsia="仿宋_GB2312"/>
          <w:sz w:val="28"/>
          <w:szCs w:val="28"/>
        </w:rPr>
      </w:pPr>
      <w:r>
        <w:rPr>
          <w:rFonts w:hint="eastAsia" w:eastAsia="仿宋_GB2312"/>
          <w:b/>
          <w:sz w:val="28"/>
          <w:szCs w:val="28"/>
        </w:rPr>
        <w:t>第二十</w:t>
      </w:r>
      <w:r>
        <w:rPr>
          <w:rFonts w:hint="eastAsia" w:eastAsia="仿宋_GB2312"/>
          <w:b/>
          <w:sz w:val="28"/>
          <w:szCs w:val="28"/>
          <w:lang w:val="en-US" w:eastAsia="zh-CN"/>
        </w:rPr>
        <w:t>二</w:t>
      </w:r>
      <w:r>
        <w:rPr>
          <w:rFonts w:hint="eastAsia" w:eastAsia="仿宋_GB2312"/>
          <w:b/>
          <w:sz w:val="28"/>
          <w:szCs w:val="28"/>
        </w:rPr>
        <w:t>条</w:t>
      </w:r>
      <w:r>
        <w:rPr>
          <w:rFonts w:hint="eastAsia" w:eastAsia="仿宋_GB2312"/>
          <w:sz w:val="28"/>
          <w:szCs w:val="28"/>
        </w:rPr>
        <w:t xml:space="preserve"> 对研究生奖学金评审结果有异议的学生，可在学院公示阶段向</w:t>
      </w:r>
      <w:r>
        <w:rPr>
          <w:rFonts w:hint="eastAsia" w:eastAsia="仿宋_GB2312"/>
          <w:bCs/>
          <w:sz w:val="28"/>
          <w:szCs w:val="28"/>
        </w:rPr>
        <w:t>学院奖学金评委会</w:t>
      </w:r>
      <w:r>
        <w:rPr>
          <w:rFonts w:hint="eastAsia" w:eastAsia="仿宋_GB2312"/>
          <w:sz w:val="28"/>
          <w:szCs w:val="28"/>
        </w:rPr>
        <w:t>提出申诉，</w:t>
      </w:r>
      <w:r>
        <w:rPr>
          <w:rFonts w:hint="eastAsia" w:eastAsia="仿宋_GB2312"/>
          <w:bCs/>
          <w:sz w:val="28"/>
          <w:szCs w:val="28"/>
        </w:rPr>
        <w:t>学院奖学金评委会</w:t>
      </w:r>
      <w:r>
        <w:rPr>
          <w:rFonts w:hint="eastAsia" w:eastAsia="仿宋_GB2312"/>
          <w:sz w:val="28"/>
          <w:szCs w:val="28"/>
        </w:rPr>
        <w:t>应及时研究并予以答复。如学生对</w:t>
      </w:r>
      <w:r>
        <w:rPr>
          <w:rFonts w:hint="eastAsia" w:eastAsia="仿宋_GB2312"/>
          <w:bCs/>
          <w:sz w:val="28"/>
          <w:szCs w:val="28"/>
        </w:rPr>
        <w:t>学院奖学金评委会</w:t>
      </w:r>
      <w:r>
        <w:rPr>
          <w:rFonts w:hint="eastAsia" w:eastAsia="仿宋_GB2312"/>
          <w:sz w:val="28"/>
          <w:szCs w:val="28"/>
        </w:rPr>
        <w:t>作出的答复仍存在异议，可在学校公示阶段向学校研究生奖学金评审领导小组提请裁决。</w:t>
      </w:r>
    </w:p>
    <w:p w14:paraId="702FF3E9">
      <w:pPr>
        <w:ind w:firstLine="560"/>
        <w:rPr>
          <w:rFonts w:eastAsia="仿宋_GB2312"/>
          <w:sz w:val="28"/>
          <w:szCs w:val="28"/>
        </w:rPr>
      </w:pPr>
      <w:r>
        <w:rPr>
          <w:rFonts w:hint="eastAsia" w:eastAsia="仿宋_GB2312"/>
          <w:b/>
          <w:sz w:val="28"/>
          <w:szCs w:val="28"/>
        </w:rPr>
        <w:t>第二十</w:t>
      </w:r>
      <w:r>
        <w:rPr>
          <w:rFonts w:hint="eastAsia" w:eastAsia="仿宋_GB2312"/>
          <w:b/>
          <w:sz w:val="28"/>
          <w:szCs w:val="28"/>
          <w:lang w:val="en-US" w:eastAsia="zh-CN"/>
        </w:rPr>
        <w:t>三</w:t>
      </w:r>
      <w:r>
        <w:rPr>
          <w:rFonts w:hint="eastAsia" w:eastAsia="仿宋_GB2312"/>
          <w:b/>
          <w:sz w:val="28"/>
          <w:szCs w:val="28"/>
        </w:rPr>
        <w:t>条</w:t>
      </w:r>
      <w:r>
        <w:rPr>
          <w:rFonts w:hint="eastAsia" w:eastAsia="仿宋_GB2312"/>
          <w:sz w:val="28"/>
          <w:szCs w:val="28"/>
        </w:rPr>
        <w:t xml:space="preserve"> 本办法自发布之日起执行，由学院奖学金评委会负责解释。</w:t>
      </w:r>
    </w:p>
    <w:p w14:paraId="227FFE3E">
      <w:pPr>
        <w:ind w:firstLine="560"/>
        <w:rPr>
          <w:rFonts w:hint="eastAsia" w:eastAsia="仿宋_GB2312"/>
          <w:sz w:val="28"/>
          <w:szCs w:val="28"/>
        </w:rPr>
      </w:pPr>
    </w:p>
    <w:p w14:paraId="2AA4C79B">
      <w:pPr>
        <w:ind w:firstLine="200" w:firstLineChars="71"/>
        <w:rPr>
          <w:rFonts w:eastAsia="仿宋_GB2312"/>
          <w:sz w:val="28"/>
          <w:szCs w:val="28"/>
        </w:rPr>
      </w:pPr>
      <w:r>
        <w:rPr>
          <w:rFonts w:hint="eastAsia" w:eastAsia="仿宋_GB2312"/>
          <w:b/>
          <w:sz w:val="28"/>
          <w:szCs w:val="28"/>
        </w:rPr>
        <w:t>附件：</w:t>
      </w:r>
    </w:p>
    <w:p w14:paraId="4E22F6E0">
      <w:pPr>
        <w:ind w:firstLine="560"/>
        <w:rPr>
          <w:rFonts w:eastAsia="仿宋_GB2312"/>
          <w:sz w:val="28"/>
          <w:szCs w:val="28"/>
        </w:rPr>
      </w:pPr>
      <w:r>
        <w:rPr>
          <w:rFonts w:hint="eastAsia" w:eastAsia="仿宋_GB2312"/>
          <w:sz w:val="28"/>
          <w:szCs w:val="28"/>
        </w:rPr>
        <w:t>1.研究生国家奖学金申请审批表</w:t>
      </w:r>
    </w:p>
    <w:p w14:paraId="2AFC4289">
      <w:pPr>
        <w:ind w:firstLine="560"/>
        <w:rPr>
          <w:rFonts w:eastAsia="仿宋_GB2312"/>
          <w:sz w:val="28"/>
          <w:szCs w:val="28"/>
        </w:rPr>
      </w:pPr>
      <w:r>
        <w:rPr>
          <w:rFonts w:hint="eastAsia" w:eastAsia="仿宋_GB2312"/>
          <w:sz w:val="28"/>
          <w:szCs w:val="28"/>
          <w:lang w:val="en-US" w:eastAsia="zh-CN"/>
        </w:rPr>
        <w:t>2</w:t>
      </w:r>
      <w:r>
        <w:rPr>
          <w:rFonts w:hint="eastAsia" w:eastAsia="仿宋_GB2312"/>
          <w:sz w:val="28"/>
          <w:szCs w:val="28"/>
        </w:rPr>
        <w:t>.武汉理工大学信息工程学院研究生综合素质测评体系</w:t>
      </w:r>
    </w:p>
    <w:p w14:paraId="15587B41">
      <w:pPr>
        <w:ind w:firstLine="560"/>
        <w:rPr>
          <w:rFonts w:hint="eastAsia" w:eastAsia="仿宋_GB2312"/>
          <w:sz w:val="28"/>
          <w:szCs w:val="28"/>
        </w:rPr>
      </w:pPr>
      <w:r>
        <w:rPr>
          <w:rFonts w:hint="eastAsia" w:eastAsia="仿宋_GB2312"/>
          <w:sz w:val="28"/>
          <w:szCs w:val="28"/>
          <w:lang w:val="en-US" w:eastAsia="zh-CN"/>
        </w:rPr>
        <w:t>3</w:t>
      </w:r>
      <w:bookmarkStart w:id="3" w:name="_GoBack"/>
      <w:bookmarkEnd w:id="3"/>
      <w:r>
        <w:rPr>
          <w:rFonts w:hint="eastAsia" w:eastAsia="仿宋_GB2312"/>
          <w:sz w:val="28"/>
          <w:szCs w:val="28"/>
        </w:rPr>
        <w:t>.研究生高水平竞赛项目认定清单</w:t>
      </w:r>
    </w:p>
    <w:p w14:paraId="19946EC6">
      <w:pPr>
        <w:wordWrap w:val="0"/>
        <w:ind w:firstLine="560"/>
        <w:jc w:val="right"/>
        <w:rPr>
          <w:rFonts w:eastAsia="仿宋_GB2312"/>
          <w:sz w:val="28"/>
          <w:szCs w:val="28"/>
        </w:rPr>
      </w:pPr>
    </w:p>
    <w:p w14:paraId="31ECB027">
      <w:pPr>
        <w:wordWrap w:val="0"/>
        <w:ind w:firstLine="560"/>
        <w:jc w:val="right"/>
        <w:rPr>
          <w:rFonts w:eastAsia="仿宋_GB2312"/>
          <w:sz w:val="28"/>
          <w:szCs w:val="28"/>
        </w:rPr>
      </w:pPr>
      <w:r>
        <w:rPr>
          <w:rFonts w:hint="eastAsia" w:eastAsia="仿宋_GB2312"/>
          <w:sz w:val="28"/>
          <w:szCs w:val="28"/>
        </w:rPr>
        <w:t>信息工程学院</w:t>
      </w:r>
      <w:r>
        <w:rPr>
          <w:rFonts w:eastAsia="仿宋_GB2312"/>
          <w:sz w:val="28"/>
          <w:szCs w:val="28"/>
        </w:rPr>
        <w:t xml:space="preserve">   </w:t>
      </w:r>
    </w:p>
    <w:p w14:paraId="782B18D8">
      <w:pPr>
        <w:ind w:firstLine="560"/>
        <w:jc w:val="right"/>
        <w:rPr>
          <w:rFonts w:hint="eastAsia" w:eastAsia="仿宋_GB2312"/>
          <w:sz w:val="28"/>
          <w:szCs w:val="28"/>
        </w:rPr>
      </w:pPr>
      <w:r>
        <w:rPr>
          <w:rFonts w:hint="eastAsia" w:eastAsia="仿宋_GB2312"/>
          <w:sz w:val="28"/>
          <w:szCs w:val="28"/>
        </w:rPr>
        <w:t>202</w:t>
      </w:r>
      <w:r>
        <w:rPr>
          <w:rFonts w:hint="eastAsia" w:eastAsia="仿宋_GB2312"/>
          <w:sz w:val="28"/>
          <w:szCs w:val="28"/>
          <w:lang w:val="en-US" w:eastAsia="zh-CN"/>
        </w:rPr>
        <w:t>6</w:t>
      </w:r>
      <w:r>
        <w:rPr>
          <w:rFonts w:hint="eastAsia" w:eastAsia="仿宋_GB2312"/>
          <w:sz w:val="28"/>
          <w:szCs w:val="28"/>
        </w:rPr>
        <w:t>年</w:t>
      </w:r>
      <w:r>
        <w:rPr>
          <w:rFonts w:hint="eastAsia" w:eastAsia="仿宋_GB2312"/>
          <w:sz w:val="28"/>
          <w:szCs w:val="28"/>
          <w:lang w:val="en-US" w:eastAsia="zh-CN"/>
        </w:rPr>
        <w:t>4</w:t>
      </w:r>
      <w:r>
        <w:rPr>
          <w:rFonts w:hint="eastAsia" w:eastAsia="仿宋_GB2312"/>
          <w:sz w:val="28"/>
          <w:szCs w:val="28"/>
        </w:rPr>
        <w:t>月</w:t>
      </w:r>
      <w:r>
        <w:rPr>
          <w:rFonts w:hint="eastAsia" w:eastAsia="仿宋_GB2312"/>
          <w:sz w:val="28"/>
          <w:szCs w:val="28"/>
          <w:lang w:val="en-US" w:eastAsia="zh-CN"/>
        </w:rPr>
        <w:t>1</w:t>
      </w:r>
      <w:r>
        <w:rPr>
          <w:rFonts w:hint="eastAsia" w:eastAsia="仿宋_GB2312"/>
          <w:sz w:val="28"/>
          <w:szCs w:val="28"/>
        </w:rPr>
        <w:t>日</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797" w:bottom="1440" w:left="1797" w:header="851" w:footer="992" w:gutter="0"/>
      <w:pgNumType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瀹嬩綋">
    <w:altName w:val="宋体"/>
    <w:panose1 w:val="00000000000000000000"/>
    <w:charset w:val="86"/>
    <w:family w:val="auto"/>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54248">
    <w:pPr>
      <w:pStyle w:val="19"/>
      <w:framePr w:wrap="around" w:vAnchor="text" w:hAnchor="margin" w:xAlign="center" w:y="1"/>
      <w:ind w:firstLine="360"/>
      <w:rPr>
        <w:rStyle w:val="37"/>
      </w:rPr>
    </w:pPr>
    <w:r>
      <w:rPr>
        <w:rStyle w:val="37"/>
      </w:rPr>
      <w:fldChar w:fldCharType="begin"/>
    </w:r>
    <w:r>
      <w:rPr>
        <w:rStyle w:val="37"/>
      </w:rPr>
      <w:instrText xml:space="preserve">PAGE  </w:instrText>
    </w:r>
    <w:r>
      <w:rPr>
        <w:rStyle w:val="37"/>
      </w:rPr>
      <w:fldChar w:fldCharType="separate"/>
    </w:r>
    <w:r>
      <w:rPr>
        <w:rStyle w:val="37"/>
      </w:rPr>
      <w:t>12</w:t>
    </w:r>
    <w:r>
      <w:rPr>
        <w:rStyle w:val="37"/>
      </w:rPr>
      <w:fldChar w:fldCharType="end"/>
    </w:r>
  </w:p>
  <w:p w14:paraId="3AEDF9FB">
    <w:pPr>
      <w:pStyle w:val="1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9399C">
    <w:pPr>
      <w:pStyle w:val="19"/>
      <w:framePr w:wrap="around" w:vAnchor="text" w:hAnchor="margin" w:xAlign="center" w:y="1"/>
      <w:ind w:firstLine="360"/>
      <w:rPr>
        <w:rStyle w:val="37"/>
      </w:rPr>
    </w:pPr>
    <w:r>
      <w:rPr>
        <w:rStyle w:val="37"/>
      </w:rPr>
      <w:fldChar w:fldCharType="begin"/>
    </w:r>
    <w:r>
      <w:rPr>
        <w:rStyle w:val="37"/>
      </w:rPr>
      <w:instrText xml:space="preserve">PAGE  </w:instrText>
    </w:r>
    <w:r>
      <w:rPr>
        <w:rStyle w:val="37"/>
      </w:rPr>
      <w:fldChar w:fldCharType="end"/>
    </w:r>
  </w:p>
  <w:p w14:paraId="54CE0CFF">
    <w:pPr>
      <w:pStyle w:val="1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B14A5">
    <w:pPr>
      <w:pStyle w:val="1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20"/>
      </w:pPr>
      <w:r>
        <w:separator/>
      </w:r>
    </w:p>
  </w:footnote>
  <w:footnote w:type="continuationSeparator" w:id="1">
    <w:p>
      <w:pPr>
        <w:spacing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9FCE3">
    <w:pPr>
      <w:pStyle w:val="20"/>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C4990">
    <w:pPr>
      <w:pStyle w:val="2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BB8A3">
    <w:pPr>
      <w:pStyle w:val="20"/>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0ODY3YjcwYTg0N2EwMjc0YjJmMDg1NmNiYzdiYTMifQ=="/>
    <w:docVar w:name="KSO_WPS_MARK_KEY" w:val="783f73bf-f9de-4daf-b3e3-00f6835a6df0"/>
  </w:docVars>
  <w:rsids>
    <w:rsidRoot w:val="005A4104"/>
    <w:rsid w:val="000013BF"/>
    <w:rsid w:val="0000153F"/>
    <w:rsid w:val="00002542"/>
    <w:rsid w:val="000057DF"/>
    <w:rsid w:val="00005C71"/>
    <w:rsid w:val="0000649E"/>
    <w:rsid w:val="0001053B"/>
    <w:rsid w:val="0001601F"/>
    <w:rsid w:val="00017C00"/>
    <w:rsid w:val="00021A18"/>
    <w:rsid w:val="00036760"/>
    <w:rsid w:val="00037642"/>
    <w:rsid w:val="000554E0"/>
    <w:rsid w:val="00060C5D"/>
    <w:rsid w:val="00065274"/>
    <w:rsid w:val="000660BE"/>
    <w:rsid w:val="00066B3D"/>
    <w:rsid w:val="0009178D"/>
    <w:rsid w:val="000938CD"/>
    <w:rsid w:val="0009713B"/>
    <w:rsid w:val="000A5D17"/>
    <w:rsid w:val="000B1B03"/>
    <w:rsid w:val="000B3C58"/>
    <w:rsid w:val="000B6371"/>
    <w:rsid w:val="000C2A50"/>
    <w:rsid w:val="000C6FA6"/>
    <w:rsid w:val="000C7363"/>
    <w:rsid w:val="000D0627"/>
    <w:rsid w:val="000D29B7"/>
    <w:rsid w:val="000D3925"/>
    <w:rsid w:val="000D3EE9"/>
    <w:rsid w:val="000D67FE"/>
    <w:rsid w:val="000E1A37"/>
    <w:rsid w:val="000F31FF"/>
    <w:rsid w:val="000F4079"/>
    <w:rsid w:val="000F479A"/>
    <w:rsid w:val="000F4CB7"/>
    <w:rsid w:val="001020EA"/>
    <w:rsid w:val="001073C9"/>
    <w:rsid w:val="001101A5"/>
    <w:rsid w:val="00110A06"/>
    <w:rsid w:val="00110AE7"/>
    <w:rsid w:val="00111422"/>
    <w:rsid w:val="0011566A"/>
    <w:rsid w:val="001229B2"/>
    <w:rsid w:val="00123550"/>
    <w:rsid w:val="00135098"/>
    <w:rsid w:val="00141D7E"/>
    <w:rsid w:val="001422FE"/>
    <w:rsid w:val="001428FC"/>
    <w:rsid w:val="001429FA"/>
    <w:rsid w:val="00145A9B"/>
    <w:rsid w:val="00146590"/>
    <w:rsid w:val="00147969"/>
    <w:rsid w:val="00150E13"/>
    <w:rsid w:val="001511E3"/>
    <w:rsid w:val="00153164"/>
    <w:rsid w:val="00167D88"/>
    <w:rsid w:val="0017713B"/>
    <w:rsid w:val="00191087"/>
    <w:rsid w:val="00196291"/>
    <w:rsid w:val="00196FB4"/>
    <w:rsid w:val="001A23DD"/>
    <w:rsid w:val="001A70A2"/>
    <w:rsid w:val="001B0952"/>
    <w:rsid w:val="001B0965"/>
    <w:rsid w:val="001B27BE"/>
    <w:rsid w:val="001B34BE"/>
    <w:rsid w:val="001B5967"/>
    <w:rsid w:val="001C14CC"/>
    <w:rsid w:val="001C6631"/>
    <w:rsid w:val="001D6BF8"/>
    <w:rsid w:val="001E0D95"/>
    <w:rsid w:val="001E1C6B"/>
    <w:rsid w:val="001E2395"/>
    <w:rsid w:val="001E46B1"/>
    <w:rsid w:val="001E57BF"/>
    <w:rsid w:val="001F6C99"/>
    <w:rsid w:val="00203E61"/>
    <w:rsid w:val="002042C4"/>
    <w:rsid w:val="00204A93"/>
    <w:rsid w:val="00204E1E"/>
    <w:rsid w:val="00206615"/>
    <w:rsid w:val="0022740A"/>
    <w:rsid w:val="002300A6"/>
    <w:rsid w:val="00233B6D"/>
    <w:rsid w:val="00240C4E"/>
    <w:rsid w:val="0024143B"/>
    <w:rsid w:val="002419F8"/>
    <w:rsid w:val="002464BE"/>
    <w:rsid w:val="00253119"/>
    <w:rsid w:val="00253B51"/>
    <w:rsid w:val="002612C9"/>
    <w:rsid w:val="002645D6"/>
    <w:rsid w:val="00265D48"/>
    <w:rsid w:val="002670FA"/>
    <w:rsid w:val="002708BA"/>
    <w:rsid w:val="002713CD"/>
    <w:rsid w:val="00274BD0"/>
    <w:rsid w:val="002847D1"/>
    <w:rsid w:val="0029000C"/>
    <w:rsid w:val="00290714"/>
    <w:rsid w:val="002A0CEC"/>
    <w:rsid w:val="002A2DB0"/>
    <w:rsid w:val="002A653D"/>
    <w:rsid w:val="002A7811"/>
    <w:rsid w:val="002B6751"/>
    <w:rsid w:val="002C61AB"/>
    <w:rsid w:val="002C63A3"/>
    <w:rsid w:val="002D0B0A"/>
    <w:rsid w:val="002D7569"/>
    <w:rsid w:val="002E4215"/>
    <w:rsid w:val="002F1AC8"/>
    <w:rsid w:val="003068A2"/>
    <w:rsid w:val="00307AAF"/>
    <w:rsid w:val="003100E5"/>
    <w:rsid w:val="00330CB1"/>
    <w:rsid w:val="00340C0C"/>
    <w:rsid w:val="003436B7"/>
    <w:rsid w:val="003441CF"/>
    <w:rsid w:val="00352D49"/>
    <w:rsid w:val="00356077"/>
    <w:rsid w:val="00362B23"/>
    <w:rsid w:val="00375F00"/>
    <w:rsid w:val="003811EA"/>
    <w:rsid w:val="00382020"/>
    <w:rsid w:val="003826B5"/>
    <w:rsid w:val="003923B2"/>
    <w:rsid w:val="0039402D"/>
    <w:rsid w:val="003A64E2"/>
    <w:rsid w:val="003A6563"/>
    <w:rsid w:val="003B0174"/>
    <w:rsid w:val="003B418F"/>
    <w:rsid w:val="003D1379"/>
    <w:rsid w:val="003D1BD5"/>
    <w:rsid w:val="003D5399"/>
    <w:rsid w:val="003D5B7B"/>
    <w:rsid w:val="003E22C5"/>
    <w:rsid w:val="003E26EA"/>
    <w:rsid w:val="003F0C27"/>
    <w:rsid w:val="003F2815"/>
    <w:rsid w:val="003F2F5F"/>
    <w:rsid w:val="003F5A88"/>
    <w:rsid w:val="003F7440"/>
    <w:rsid w:val="0040527C"/>
    <w:rsid w:val="00412024"/>
    <w:rsid w:val="00414BFC"/>
    <w:rsid w:val="004169A6"/>
    <w:rsid w:val="00420192"/>
    <w:rsid w:val="0042147E"/>
    <w:rsid w:val="00421CAC"/>
    <w:rsid w:val="004226AD"/>
    <w:rsid w:val="0043210B"/>
    <w:rsid w:val="00433BC5"/>
    <w:rsid w:val="00434B50"/>
    <w:rsid w:val="00434E52"/>
    <w:rsid w:val="0045439F"/>
    <w:rsid w:val="00456E6D"/>
    <w:rsid w:val="004609D4"/>
    <w:rsid w:val="004617A5"/>
    <w:rsid w:val="00462868"/>
    <w:rsid w:val="004645C9"/>
    <w:rsid w:val="00466747"/>
    <w:rsid w:val="004717D7"/>
    <w:rsid w:val="00476EF0"/>
    <w:rsid w:val="00481693"/>
    <w:rsid w:val="0048436C"/>
    <w:rsid w:val="00485559"/>
    <w:rsid w:val="00487C76"/>
    <w:rsid w:val="00492C2D"/>
    <w:rsid w:val="00494E31"/>
    <w:rsid w:val="0049789F"/>
    <w:rsid w:val="00497AE7"/>
    <w:rsid w:val="004A1226"/>
    <w:rsid w:val="004A4078"/>
    <w:rsid w:val="004A40F0"/>
    <w:rsid w:val="004A68D3"/>
    <w:rsid w:val="004B2E33"/>
    <w:rsid w:val="004B419D"/>
    <w:rsid w:val="004B7D34"/>
    <w:rsid w:val="004C2062"/>
    <w:rsid w:val="004C634A"/>
    <w:rsid w:val="004D0EB1"/>
    <w:rsid w:val="004D2D94"/>
    <w:rsid w:val="004D5BA3"/>
    <w:rsid w:val="004E0BAA"/>
    <w:rsid w:val="004F0373"/>
    <w:rsid w:val="004F0FE3"/>
    <w:rsid w:val="004F24F4"/>
    <w:rsid w:val="004F6388"/>
    <w:rsid w:val="004F6591"/>
    <w:rsid w:val="005034FE"/>
    <w:rsid w:val="00505060"/>
    <w:rsid w:val="00506917"/>
    <w:rsid w:val="00506F3C"/>
    <w:rsid w:val="00512718"/>
    <w:rsid w:val="005127E7"/>
    <w:rsid w:val="00512F85"/>
    <w:rsid w:val="00512F8A"/>
    <w:rsid w:val="0052009D"/>
    <w:rsid w:val="00523B45"/>
    <w:rsid w:val="00525524"/>
    <w:rsid w:val="00527B35"/>
    <w:rsid w:val="00530BAC"/>
    <w:rsid w:val="005329D2"/>
    <w:rsid w:val="0053651D"/>
    <w:rsid w:val="00536F65"/>
    <w:rsid w:val="0053797E"/>
    <w:rsid w:val="0054063E"/>
    <w:rsid w:val="005422DE"/>
    <w:rsid w:val="00542EE1"/>
    <w:rsid w:val="00546D87"/>
    <w:rsid w:val="005507E3"/>
    <w:rsid w:val="00555176"/>
    <w:rsid w:val="0056340A"/>
    <w:rsid w:val="00565741"/>
    <w:rsid w:val="00571984"/>
    <w:rsid w:val="00582351"/>
    <w:rsid w:val="005963B8"/>
    <w:rsid w:val="005A4104"/>
    <w:rsid w:val="005B0B4A"/>
    <w:rsid w:val="005B7A89"/>
    <w:rsid w:val="005C21DF"/>
    <w:rsid w:val="005D73D6"/>
    <w:rsid w:val="005E1720"/>
    <w:rsid w:val="005E3307"/>
    <w:rsid w:val="005E3E89"/>
    <w:rsid w:val="005E70FF"/>
    <w:rsid w:val="005F3FAA"/>
    <w:rsid w:val="006041E2"/>
    <w:rsid w:val="006147FC"/>
    <w:rsid w:val="00614B69"/>
    <w:rsid w:val="00624B8A"/>
    <w:rsid w:val="006252B8"/>
    <w:rsid w:val="00632A97"/>
    <w:rsid w:val="00633316"/>
    <w:rsid w:val="0063393D"/>
    <w:rsid w:val="00640FFA"/>
    <w:rsid w:val="0064187E"/>
    <w:rsid w:val="00642212"/>
    <w:rsid w:val="00642F0E"/>
    <w:rsid w:val="00652FDB"/>
    <w:rsid w:val="0065702D"/>
    <w:rsid w:val="00657EBC"/>
    <w:rsid w:val="00664678"/>
    <w:rsid w:val="00666A81"/>
    <w:rsid w:val="00667F2E"/>
    <w:rsid w:val="0067041F"/>
    <w:rsid w:val="00673ED6"/>
    <w:rsid w:val="0067666D"/>
    <w:rsid w:val="00693B64"/>
    <w:rsid w:val="006A6ECC"/>
    <w:rsid w:val="006B30EB"/>
    <w:rsid w:val="006C2FC2"/>
    <w:rsid w:val="006C3FBC"/>
    <w:rsid w:val="006C4310"/>
    <w:rsid w:val="006C5FC4"/>
    <w:rsid w:val="006C7DEB"/>
    <w:rsid w:val="006D4813"/>
    <w:rsid w:val="006D56E8"/>
    <w:rsid w:val="006D71E6"/>
    <w:rsid w:val="006E0007"/>
    <w:rsid w:val="006E56C5"/>
    <w:rsid w:val="006E7B07"/>
    <w:rsid w:val="006F0048"/>
    <w:rsid w:val="006F2DD6"/>
    <w:rsid w:val="006F6C8D"/>
    <w:rsid w:val="00705001"/>
    <w:rsid w:val="00711B90"/>
    <w:rsid w:val="00712E9B"/>
    <w:rsid w:val="00715B77"/>
    <w:rsid w:val="00717AB6"/>
    <w:rsid w:val="007221C5"/>
    <w:rsid w:val="00722A55"/>
    <w:rsid w:val="00727856"/>
    <w:rsid w:val="00727A21"/>
    <w:rsid w:val="007316FA"/>
    <w:rsid w:val="00732DC1"/>
    <w:rsid w:val="0073609B"/>
    <w:rsid w:val="00750621"/>
    <w:rsid w:val="00755990"/>
    <w:rsid w:val="00761213"/>
    <w:rsid w:val="007616CE"/>
    <w:rsid w:val="00764060"/>
    <w:rsid w:val="007662DB"/>
    <w:rsid w:val="00766D4D"/>
    <w:rsid w:val="00773139"/>
    <w:rsid w:val="00780C38"/>
    <w:rsid w:val="007811E6"/>
    <w:rsid w:val="00781F5A"/>
    <w:rsid w:val="0078419B"/>
    <w:rsid w:val="00784C0E"/>
    <w:rsid w:val="00790A55"/>
    <w:rsid w:val="00790CBC"/>
    <w:rsid w:val="007A3854"/>
    <w:rsid w:val="007A3DE4"/>
    <w:rsid w:val="007A47DA"/>
    <w:rsid w:val="007A59EC"/>
    <w:rsid w:val="007B1135"/>
    <w:rsid w:val="007B4494"/>
    <w:rsid w:val="007B46DA"/>
    <w:rsid w:val="007B5B54"/>
    <w:rsid w:val="007B7A2F"/>
    <w:rsid w:val="007C03A4"/>
    <w:rsid w:val="007C146F"/>
    <w:rsid w:val="007C4638"/>
    <w:rsid w:val="007C4F96"/>
    <w:rsid w:val="007D48B9"/>
    <w:rsid w:val="007D4E61"/>
    <w:rsid w:val="007D51D2"/>
    <w:rsid w:val="007D75BE"/>
    <w:rsid w:val="007E3E71"/>
    <w:rsid w:val="007E5077"/>
    <w:rsid w:val="007F45A4"/>
    <w:rsid w:val="007F5384"/>
    <w:rsid w:val="007F5F9F"/>
    <w:rsid w:val="00801115"/>
    <w:rsid w:val="0082067E"/>
    <w:rsid w:val="00826CAF"/>
    <w:rsid w:val="00840702"/>
    <w:rsid w:val="008407A7"/>
    <w:rsid w:val="00844C41"/>
    <w:rsid w:val="008458D6"/>
    <w:rsid w:val="00855725"/>
    <w:rsid w:val="00857945"/>
    <w:rsid w:val="00857B66"/>
    <w:rsid w:val="008613B6"/>
    <w:rsid w:val="008618A8"/>
    <w:rsid w:val="00862127"/>
    <w:rsid w:val="0086763E"/>
    <w:rsid w:val="0088041B"/>
    <w:rsid w:val="008867B7"/>
    <w:rsid w:val="008875D5"/>
    <w:rsid w:val="00891F72"/>
    <w:rsid w:val="00892061"/>
    <w:rsid w:val="008A4EF0"/>
    <w:rsid w:val="008B003A"/>
    <w:rsid w:val="008B5964"/>
    <w:rsid w:val="008B7EED"/>
    <w:rsid w:val="008C0256"/>
    <w:rsid w:val="008C33D6"/>
    <w:rsid w:val="008C581B"/>
    <w:rsid w:val="008D3CBE"/>
    <w:rsid w:val="008D433C"/>
    <w:rsid w:val="008E09BC"/>
    <w:rsid w:val="008E27FC"/>
    <w:rsid w:val="008E7225"/>
    <w:rsid w:val="008F111C"/>
    <w:rsid w:val="008F24AF"/>
    <w:rsid w:val="008F70B6"/>
    <w:rsid w:val="00901688"/>
    <w:rsid w:val="009113C2"/>
    <w:rsid w:val="009120D3"/>
    <w:rsid w:val="009136A9"/>
    <w:rsid w:val="0091694D"/>
    <w:rsid w:val="0092696C"/>
    <w:rsid w:val="00931C2C"/>
    <w:rsid w:val="0093465F"/>
    <w:rsid w:val="0094215E"/>
    <w:rsid w:val="009528CF"/>
    <w:rsid w:val="00970D49"/>
    <w:rsid w:val="00973A43"/>
    <w:rsid w:val="00974144"/>
    <w:rsid w:val="0098425E"/>
    <w:rsid w:val="00984876"/>
    <w:rsid w:val="00985DD7"/>
    <w:rsid w:val="00995058"/>
    <w:rsid w:val="009957D9"/>
    <w:rsid w:val="009A059A"/>
    <w:rsid w:val="009A1A75"/>
    <w:rsid w:val="009A2F58"/>
    <w:rsid w:val="009A45D0"/>
    <w:rsid w:val="009B1DF5"/>
    <w:rsid w:val="009B6008"/>
    <w:rsid w:val="009C0315"/>
    <w:rsid w:val="009C0D8F"/>
    <w:rsid w:val="009D138B"/>
    <w:rsid w:val="009D6D18"/>
    <w:rsid w:val="009E3E9A"/>
    <w:rsid w:val="009E5FBC"/>
    <w:rsid w:val="009F13F1"/>
    <w:rsid w:val="009F5376"/>
    <w:rsid w:val="009F573E"/>
    <w:rsid w:val="009F60DE"/>
    <w:rsid w:val="009F69F1"/>
    <w:rsid w:val="00A11747"/>
    <w:rsid w:val="00A13FAA"/>
    <w:rsid w:val="00A2041C"/>
    <w:rsid w:val="00A20FB6"/>
    <w:rsid w:val="00A211AB"/>
    <w:rsid w:val="00A30405"/>
    <w:rsid w:val="00A307FC"/>
    <w:rsid w:val="00A30BFE"/>
    <w:rsid w:val="00A3218F"/>
    <w:rsid w:val="00A32C56"/>
    <w:rsid w:val="00A342ED"/>
    <w:rsid w:val="00A43361"/>
    <w:rsid w:val="00A447AB"/>
    <w:rsid w:val="00A45E1E"/>
    <w:rsid w:val="00A52436"/>
    <w:rsid w:val="00A61F09"/>
    <w:rsid w:val="00A65E2F"/>
    <w:rsid w:val="00A73A00"/>
    <w:rsid w:val="00A832B9"/>
    <w:rsid w:val="00A96547"/>
    <w:rsid w:val="00A96B12"/>
    <w:rsid w:val="00AA10EB"/>
    <w:rsid w:val="00AA28F1"/>
    <w:rsid w:val="00AA54FD"/>
    <w:rsid w:val="00AA6125"/>
    <w:rsid w:val="00AA6205"/>
    <w:rsid w:val="00AB4B5D"/>
    <w:rsid w:val="00AB5923"/>
    <w:rsid w:val="00AB5F26"/>
    <w:rsid w:val="00AC0815"/>
    <w:rsid w:val="00AE11F6"/>
    <w:rsid w:val="00AE3B5D"/>
    <w:rsid w:val="00AE6E2C"/>
    <w:rsid w:val="00AF25C3"/>
    <w:rsid w:val="00AF2663"/>
    <w:rsid w:val="00AF3B2C"/>
    <w:rsid w:val="00AF4C1A"/>
    <w:rsid w:val="00AF4FA0"/>
    <w:rsid w:val="00B0207F"/>
    <w:rsid w:val="00B02CB9"/>
    <w:rsid w:val="00B07F35"/>
    <w:rsid w:val="00B12C18"/>
    <w:rsid w:val="00B3232A"/>
    <w:rsid w:val="00B32AE2"/>
    <w:rsid w:val="00B4301D"/>
    <w:rsid w:val="00B453AF"/>
    <w:rsid w:val="00B4630C"/>
    <w:rsid w:val="00B53DBD"/>
    <w:rsid w:val="00B61C5E"/>
    <w:rsid w:val="00B62ED2"/>
    <w:rsid w:val="00B657BB"/>
    <w:rsid w:val="00B70FA4"/>
    <w:rsid w:val="00B71D26"/>
    <w:rsid w:val="00B74154"/>
    <w:rsid w:val="00B80742"/>
    <w:rsid w:val="00B80A5A"/>
    <w:rsid w:val="00B81018"/>
    <w:rsid w:val="00B87B78"/>
    <w:rsid w:val="00B918B0"/>
    <w:rsid w:val="00B92653"/>
    <w:rsid w:val="00B962E2"/>
    <w:rsid w:val="00B97436"/>
    <w:rsid w:val="00BA6400"/>
    <w:rsid w:val="00BA6CB0"/>
    <w:rsid w:val="00BB147F"/>
    <w:rsid w:val="00BC2656"/>
    <w:rsid w:val="00BD015B"/>
    <w:rsid w:val="00BE2A20"/>
    <w:rsid w:val="00BE69B8"/>
    <w:rsid w:val="00BE6B14"/>
    <w:rsid w:val="00BE6B52"/>
    <w:rsid w:val="00BF3DF8"/>
    <w:rsid w:val="00BF6795"/>
    <w:rsid w:val="00C0089F"/>
    <w:rsid w:val="00C01143"/>
    <w:rsid w:val="00C027E4"/>
    <w:rsid w:val="00C03A15"/>
    <w:rsid w:val="00C03F12"/>
    <w:rsid w:val="00C0438A"/>
    <w:rsid w:val="00C064E8"/>
    <w:rsid w:val="00C12289"/>
    <w:rsid w:val="00C25A12"/>
    <w:rsid w:val="00C25D1E"/>
    <w:rsid w:val="00C419CA"/>
    <w:rsid w:val="00C51CC4"/>
    <w:rsid w:val="00C64A6A"/>
    <w:rsid w:val="00C66F27"/>
    <w:rsid w:val="00C73F4F"/>
    <w:rsid w:val="00C75640"/>
    <w:rsid w:val="00C76EF5"/>
    <w:rsid w:val="00C82156"/>
    <w:rsid w:val="00C923A2"/>
    <w:rsid w:val="00C93F63"/>
    <w:rsid w:val="00CA7AE0"/>
    <w:rsid w:val="00CB0CFF"/>
    <w:rsid w:val="00CB20E2"/>
    <w:rsid w:val="00CB2648"/>
    <w:rsid w:val="00CB3388"/>
    <w:rsid w:val="00CB5C44"/>
    <w:rsid w:val="00CB7742"/>
    <w:rsid w:val="00CC4672"/>
    <w:rsid w:val="00CD3A14"/>
    <w:rsid w:val="00CD6DA5"/>
    <w:rsid w:val="00CD712E"/>
    <w:rsid w:val="00CE212A"/>
    <w:rsid w:val="00CE4A91"/>
    <w:rsid w:val="00CE748C"/>
    <w:rsid w:val="00CE794A"/>
    <w:rsid w:val="00CF00E9"/>
    <w:rsid w:val="00CF0248"/>
    <w:rsid w:val="00CF21D0"/>
    <w:rsid w:val="00D0191A"/>
    <w:rsid w:val="00D03FC5"/>
    <w:rsid w:val="00D0572C"/>
    <w:rsid w:val="00D129C6"/>
    <w:rsid w:val="00D17C63"/>
    <w:rsid w:val="00D252E5"/>
    <w:rsid w:val="00D2608C"/>
    <w:rsid w:val="00D32411"/>
    <w:rsid w:val="00D3395D"/>
    <w:rsid w:val="00D34815"/>
    <w:rsid w:val="00D37365"/>
    <w:rsid w:val="00D40A0E"/>
    <w:rsid w:val="00D4359F"/>
    <w:rsid w:val="00D44237"/>
    <w:rsid w:val="00D46FCE"/>
    <w:rsid w:val="00D4723B"/>
    <w:rsid w:val="00D4791C"/>
    <w:rsid w:val="00D53C09"/>
    <w:rsid w:val="00D552CA"/>
    <w:rsid w:val="00D619B1"/>
    <w:rsid w:val="00D64ABE"/>
    <w:rsid w:val="00D67040"/>
    <w:rsid w:val="00D67B11"/>
    <w:rsid w:val="00D732E4"/>
    <w:rsid w:val="00D74CCA"/>
    <w:rsid w:val="00D77608"/>
    <w:rsid w:val="00D81213"/>
    <w:rsid w:val="00D82BD5"/>
    <w:rsid w:val="00D8491D"/>
    <w:rsid w:val="00D84C5C"/>
    <w:rsid w:val="00D85085"/>
    <w:rsid w:val="00D901EF"/>
    <w:rsid w:val="00D90640"/>
    <w:rsid w:val="00D90ABF"/>
    <w:rsid w:val="00D91040"/>
    <w:rsid w:val="00DA1AFC"/>
    <w:rsid w:val="00DA7318"/>
    <w:rsid w:val="00DB398F"/>
    <w:rsid w:val="00DB5F3D"/>
    <w:rsid w:val="00DC0627"/>
    <w:rsid w:val="00DC1132"/>
    <w:rsid w:val="00DC32C0"/>
    <w:rsid w:val="00DC35AB"/>
    <w:rsid w:val="00DC72CF"/>
    <w:rsid w:val="00DD6E7E"/>
    <w:rsid w:val="00DE52DE"/>
    <w:rsid w:val="00DE698A"/>
    <w:rsid w:val="00DF48A8"/>
    <w:rsid w:val="00E01577"/>
    <w:rsid w:val="00E07464"/>
    <w:rsid w:val="00E25345"/>
    <w:rsid w:val="00E260D6"/>
    <w:rsid w:val="00E26226"/>
    <w:rsid w:val="00E2635D"/>
    <w:rsid w:val="00E26FCC"/>
    <w:rsid w:val="00E44EF5"/>
    <w:rsid w:val="00E46E8E"/>
    <w:rsid w:val="00E6322F"/>
    <w:rsid w:val="00E64BA7"/>
    <w:rsid w:val="00E65AC0"/>
    <w:rsid w:val="00E66A95"/>
    <w:rsid w:val="00E67682"/>
    <w:rsid w:val="00E72603"/>
    <w:rsid w:val="00E8159E"/>
    <w:rsid w:val="00E84981"/>
    <w:rsid w:val="00E8563E"/>
    <w:rsid w:val="00E85C49"/>
    <w:rsid w:val="00E8696B"/>
    <w:rsid w:val="00E86C7C"/>
    <w:rsid w:val="00E86DC6"/>
    <w:rsid w:val="00E92C3F"/>
    <w:rsid w:val="00EA4036"/>
    <w:rsid w:val="00EA4432"/>
    <w:rsid w:val="00EA6439"/>
    <w:rsid w:val="00EC0E72"/>
    <w:rsid w:val="00EC18AD"/>
    <w:rsid w:val="00EC4793"/>
    <w:rsid w:val="00ED0BDE"/>
    <w:rsid w:val="00EE0DAA"/>
    <w:rsid w:val="00EE18FA"/>
    <w:rsid w:val="00EE2BCE"/>
    <w:rsid w:val="00EF1C0D"/>
    <w:rsid w:val="00F01D53"/>
    <w:rsid w:val="00F04A5F"/>
    <w:rsid w:val="00F04A83"/>
    <w:rsid w:val="00F142EA"/>
    <w:rsid w:val="00F15DC3"/>
    <w:rsid w:val="00F16374"/>
    <w:rsid w:val="00F2679E"/>
    <w:rsid w:val="00F30FFD"/>
    <w:rsid w:val="00F31059"/>
    <w:rsid w:val="00F33388"/>
    <w:rsid w:val="00F41E8E"/>
    <w:rsid w:val="00F452AA"/>
    <w:rsid w:val="00F46F8B"/>
    <w:rsid w:val="00F51430"/>
    <w:rsid w:val="00F569FE"/>
    <w:rsid w:val="00F57917"/>
    <w:rsid w:val="00F63C76"/>
    <w:rsid w:val="00F65BD0"/>
    <w:rsid w:val="00F705B6"/>
    <w:rsid w:val="00F71902"/>
    <w:rsid w:val="00F729C8"/>
    <w:rsid w:val="00F7469B"/>
    <w:rsid w:val="00F7683F"/>
    <w:rsid w:val="00F83AA5"/>
    <w:rsid w:val="00F93C5E"/>
    <w:rsid w:val="00F953F5"/>
    <w:rsid w:val="00F97B9E"/>
    <w:rsid w:val="00FA1A6E"/>
    <w:rsid w:val="00FA5818"/>
    <w:rsid w:val="00FB0A34"/>
    <w:rsid w:val="00FB7456"/>
    <w:rsid w:val="00FB7B17"/>
    <w:rsid w:val="00FC6641"/>
    <w:rsid w:val="00FD0344"/>
    <w:rsid w:val="00FF00CE"/>
    <w:rsid w:val="00FF1CD6"/>
    <w:rsid w:val="00FF2D22"/>
    <w:rsid w:val="04651CD8"/>
    <w:rsid w:val="072C32A6"/>
    <w:rsid w:val="07F41CF0"/>
    <w:rsid w:val="09E3201C"/>
    <w:rsid w:val="0F9C0DA8"/>
    <w:rsid w:val="103709CC"/>
    <w:rsid w:val="110E172C"/>
    <w:rsid w:val="11321523"/>
    <w:rsid w:val="11660CC4"/>
    <w:rsid w:val="118A5224"/>
    <w:rsid w:val="11AF65C4"/>
    <w:rsid w:val="11F371BB"/>
    <w:rsid w:val="137C0484"/>
    <w:rsid w:val="18DF4291"/>
    <w:rsid w:val="191E00C3"/>
    <w:rsid w:val="1AF75928"/>
    <w:rsid w:val="1B2A4F29"/>
    <w:rsid w:val="1B99078D"/>
    <w:rsid w:val="1CB515F6"/>
    <w:rsid w:val="1DED3012"/>
    <w:rsid w:val="1E9D4FEF"/>
    <w:rsid w:val="1F02489B"/>
    <w:rsid w:val="1F330B0B"/>
    <w:rsid w:val="202A5E57"/>
    <w:rsid w:val="20C27F39"/>
    <w:rsid w:val="21AD0DB0"/>
    <w:rsid w:val="21D267A7"/>
    <w:rsid w:val="225752D4"/>
    <w:rsid w:val="23952168"/>
    <w:rsid w:val="26F82688"/>
    <w:rsid w:val="278E2430"/>
    <w:rsid w:val="28771E56"/>
    <w:rsid w:val="297203DF"/>
    <w:rsid w:val="29BF7B8A"/>
    <w:rsid w:val="2C295C80"/>
    <w:rsid w:val="2C3813D8"/>
    <w:rsid w:val="2D3164B2"/>
    <w:rsid w:val="2D7504AC"/>
    <w:rsid w:val="2DFE2383"/>
    <w:rsid w:val="30050926"/>
    <w:rsid w:val="30613874"/>
    <w:rsid w:val="31ED4F37"/>
    <w:rsid w:val="3438420A"/>
    <w:rsid w:val="37425D25"/>
    <w:rsid w:val="37E46A7B"/>
    <w:rsid w:val="394A2C6F"/>
    <w:rsid w:val="39615ED1"/>
    <w:rsid w:val="398B39B3"/>
    <w:rsid w:val="3B6049CB"/>
    <w:rsid w:val="3B8C57C0"/>
    <w:rsid w:val="3C505CB1"/>
    <w:rsid w:val="3C577B7C"/>
    <w:rsid w:val="3C975781"/>
    <w:rsid w:val="3DFC357C"/>
    <w:rsid w:val="3EDE4585"/>
    <w:rsid w:val="3F182351"/>
    <w:rsid w:val="40370F70"/>
    <w:rsid w:val="410F55F1"/>
    <w:rsid w:val="423D7815"/>
    <w:rsid w:val="42EA0CBA"/>
    <w:rsid w:val="430D208B"/>
    <w:rsid w:val="437872D4"/>
    <w:rsid w:val="441E71D2"/>
    <w:rsid w:val="443B5FD6"/>
    <w:rsid w:val="470F15DD"/>
    <w:rsid w:val="48307F12"/>
    <w:rsid w:val="48427933"/>
    <w:rsid w:val="48C514F3"/>
    <w:rsid w:val="4AB42F1C"/>
    <w:rsid w:val="4B1160A9"/>
    <w:rsid w:val="4B29302C"/>
    <w:rsid w:val="4B7778F3"/>
    <w:rsid w:val="4BC023E1"/>
    <w:rsid w:val="4C1D712F"/>
    <w:rsid w:val="4CF379B9"/>
    <w:rsid w:val="4D9D560B"/>
    <w:rsid w:val="4FCA371C"/>
    <w:rsid w:val="50415C09"/>
    <w:rsid w:val="58B008E9"/>
    <w:rsid w:val="58D52FBB"/>
    <w:rsid w:val="58FF201C"/>
    <w:rsid w:val="5AF440A0"/>
    <w:rsid w:val="5C74653B"/>
    <w:rsid w:val="5C7F0CFE"/>
    <w:rsid w:val="5CBF1FCC"/>
    <w:rsid w:val="5CDF354A"/>
    <w:rsid w:val="5E7F3237"/>
    <w:rsid w:val="5FCD5B46"/>
    <w:rsid w:val="61021EFD"/>
    <w:rsid w:val="630B32EB"/>
    <w:rsid w:val="636E32B1"/>
    <w:rsid w:val="6486074F"/>
    <w:rsid w:val="649E251B"/>
    <w:rsid w:val="658C4326"/>
    <w:rsid w:val="68C815BF"/>
    <w:rsid w:val="6AE14931"/>
    <w:rsid w:val="6C8C71BF"/>
    <w:rsid w:val="6FF46638"/>
    <w:rsid w:val="70D24A50"/>
    <w:rsid w:val="716D7858"/>
    <w:rsid w:val="71AE5567"/>
    <w:rsid w:val="72A570C3"/>
    <w:rsid w:val="73270D05"/>
    <w:rsid w:val="7502407C"/>
    <w:rsid w:val="752E10BB"/>
    <w:rsid w:val="76BF3E0E"/>
    <w:rsid w:val="7A4D0015"/>
    <w:rsid w:val="7B454351"/>
    <w:rsid w:val="7C0F655D"/>
    <w:rsid w:val="7E151187"/>
    <w:rsid w:val="7E78659E"/>
    <w:rsid w:val="7E89152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0" w:semiHidden="0" w:name="Normal Indent"/>
    <w:lsdException w:qFormat="1" w:unhideWhenUsed="0" w:uiPriority="99" w:semiHidden="0" w:name="footnote text"/>
    <w:lsdException w:qFormat="1"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qFormat="1" w:unhideWhenUsed="0" w:uiPriority="99" w:semiHidden="0" w:name="FollowedHyperlink"/>
    <w:lsdException w:qFormat="1" w:unhideWhenUsed="0" w:uiPriority="0" w:semiHidden="0" w:name="Strong"/>
    <w:lsdException w:qFormat="1" w:unhideWhenUsed="0" w:uiPriority="99"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80" w:lineRule="exact"/>
      <w:ind w:firstLine="200" w:firstLineChars="20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3"/>
    <w:qFormat/>
    <w:uiPriority w:val="99"/>
    <w:pPr>
      <w:keepNext/>
      <w:keepLines/>
      <w:spacing w:before="480" w:after="480" w:line="480" w:lineRule="exact"/>
      <w:jc w:val="center"/>
      <w:outlineLvl w:val="0"/>
    </w:pPr>
    <w:rPr>
      <w:rFonts w:eastAsia="方正大标宋简体"/>
      <w:b/>
      <w:bCs/>
      <w:kern w:val="44"/>
      <w:sz w:val="36"/>
      <w:szCs w:val="44"/>
    </w:rPr>
  </w:style>
  <w:style w:type="paragraph" w:styleId="3">
    <w:name w:val="heading 2"/>
    <w:basedOn w:val="1"/>
    <w:next w:val="1"/>
    <w:link w:val="44"/>
    <w:qFormat/>
    <w:uiPriority w:val="0"/>
    <w:pPr>
      <w:keepNext/>
      <w:keepLines/>
      <w:spacing w:before="50" w:after="50"/>
      <w:ind w:firstLine="0" w:firstLineChars="0"/>
      <w:jc w:val="center"/>
      <w:outlineLvl w:val="1"/>
    </w:pPr>
    <w:rPr>
      <w:rFonts w:ascii="黑体" w:hAnsi="黑体" w:eastAsia="黑体"/>
      <w:bCs/>
      <w:kern w:val="0"/>
      <w:sz w:val="28"/>
      <w:szCs w:val="32"/>
    </w:rPr>
  </w:style>
  <w:style w:type="paragraph" w:styleId="4">
    <w:name w:val="heading 3"/>
    <w:basedOn w:val="1"/>
    <w:next w:val="1"/>
    <w:link w:val="45"/>
    <w:qFormat/>
    <w:uiPriority w:val="99"/>
    <w:pPr>
      <w:keepNext/>
      <w:keepLines/>
      <w:spacing w:before="240" w:after="240"/>
      <w:outlineLvl w:val="2"/>
    </w:pPr>
    <w:rPr>
      <w:rFonts w:eastAsia="仿宋"/>
      <w:b/>
      <w:bCs/>
      <w:sz w:val="30"/>
      <w:szCs w:val="32"/>
    </w:rPr>
  </w:style>
  <w:style w:type="paragraph" w:styleId="5">
    <w:name w:val="heading 5"/>
    <w:basedOn w:val="1"/>
    <w:next w:val="1"/>
    <w:link w:val="46"/>
    <w:qFormat/>
    <w:uiPriority w:val="0"/>
    <w:pPr>
      <w:widowControl/>
      <w:spacing w:before="240" w:after="240"/>
      <w:ind w:firstLine="602"/>
      <w:jc w:val="left"/>
      <w:outlineLvl w:val="4"/>
    </w:pPr>
    <w:rPr>
      <w:rFonts w:ascii="宋体" w:hAnsi="宋体" w:eastAsia="仿宋"/>
      <w:b/>
      <w:bCs/>
      <w:kern w:val="0"/>
      <w:sz w:val="32"/>
      <w:szCs w:val="20"/>
    </w:rPr>
  </w:style>
  <w:style w:type="character" w:default="1" w:styleId="35">
    <w:name w:val="Default Paragraph Font"/>
    <w:semiHidden/>
    <w:qFormat/>
    <w:uiPriority w:val="0"/>
  </w:style>
  <w:style w:type="table" w:default="1" w:styleId="33">
    <w:name w:val="Normal Table"/>
    <w:semiHidden/>
    <w:qFormat/>
    <w:uiPriority w:val="0"/>
    <w:tblPr>
      <w:tblCellMar>
        <w:top w:w="0" w:type="dxa"/>
        <w:left w:w="108" w:type="dxa"/>
        <w:bottom w:w="0" w:type="dxa"/>
        <w:right w:w="108" w:type="dxa"/>
      </w:tblCellMar>
    </w:tblPr>
  </w:style>
  <w:style w:type="paragraph" w:styleId="6">
    <w:name w:val="toc 7"/>
    <w:basedOn w:val="1"/>
    <w:next w:val="1"/>
    <w:qFormat/>
    <w:uiPriority w:val="99"/>
    <w:pPr>
      <w:ind w:left="2520" w:leftChars="1200"/>
    </w:pPr>
    <w:rPr>
      <w:rFonts w:ascii="Calibri" w:hAnsi="Calibri"/>
      <w:szCs w:val="22"/>
    </w:rPr>
  </w:style>
  <w:style w:type="paragraph" w:styleId="7">
    <w:name w:val="Normal Indent"/>
    <w:basedOn w:val="1"/>
    <w:qFormat/>
    <w:uiPriority w:val="0"/>
    <w:pPr>
      <w:widowControl/>
      <w:spacing w:before="100" w:beforeAutospacing="1" w:after="100" w:afterAutospacing="1"/>
      <w:jc w:val="left"/>
    </w:pPr>
    <w:rPr>
      <w:rFonts w:ascii="宋体" w:hAnsi="宋体" w:cs="宋体"/>
      <w:kern w:val="0"/>
      <w:sz w:val="24"/>
    </w:rPr>
  </w:style>
  <w:style w:type="paragraph" w:styleId="8">
    <w:name w:val="Document Map"/>
    <w:basedOn w:val="1"/>
    <w:link w:val="47"/>
    <w:qFormat/>
    <w:uiPriority w:val="0"/>
    <w:rPr>
      <w:rFonts w:ascii="宋体"/>
      <w:kern w:val="0"/>
      <w:sz w:val="18"/>
      <w:szCs w:val="18"/>
    </w:rPr>
  </w:style>
  <w:style w:type="paragraph" w:styleId="9">
    <w:name w:val="annotation text"/>
    <w:basedOn w:val="1"/>
    <w:link w:val="48"/>
    <w:unhideWhenUsed/>
    <w:qFormat/>
    <w:uiPriority w:val="0"/>
    <w:pPr>
      <w:jc w:val="left"/>
    </w:pPr>
  </w:style>
  <w:style w:type="paragraph" w:styleId="10">
    <w:name w:val="Body Text"/>
    <w:basedOn w:val="1"/>
    <w:qFormat/>
    <w:uiPriority w:val="1"/>
    <w:pPr>
      <w:ind w:left="177"/>
    </w:pPr>
    <w:rPr>
      <w:rFonts w:ascii="宋体" w:hAnsi="宋体" w:eastAsia="宋体" w:cs="宋体"/>
      <w:sz w:val="24"/>
      <w:szCs w:val="24"/>
    </w:rPr>
  </w:style>
  <w:style w:type="paragraph" w:styleId="11">
    <w:name w:val="Body Text Indent"/>
    <w:basedOn w:val="1"/>
    <w:link w:val="49"/>
    <w:qFormat/>
    <w:uiPriority w:val="0"/>
    <w:pPr>
      <w:spacing w:after="120"/>
      <w:ind w:left="420" w:leftChars="200"/>
    </w:pPr>
    <w:rPr>
      <w:kern w:val="0"/>
      <w:sz w:val="20"/>
    </w:rPr>
  </w:style>
  <w:style w:type="paragraph" w:styleId="12">
    <w:name w:val="toc 5"/>
    <w:basedOn w:val="1"/>
    <w:next w:val="1"/>
    <w:qFormat/>
    <w:uiPriority w:val="99"/>
    <w:pPr>
      <w:ind w:left="1680" w:leftChars="800"/>
    </w:pPr>
    <w:rPr>
      <w:rFonts w:ascii="Calibri" w:hAnsi="Calibri"/>
      <w:szCs w:val="22"/>
    </w:rPr>
  </w:style>
  <w:style w:type="paragraph" w:styleId="13">
    <w:name w:val="toc 3"/>
    <w:basedOn w:val="1"/>
    <w:next w:val="1"/>
    <w:qFormat/>
    <w:uiPriority w:val="99"/>
    <w:pPr>
      <w:widowControl/>
      <w:spacing w:after="100" w:line="276" w:lineRule="auto"/>
      <w:ind w:left="440"/>
      <w:jc w:val="left"/>
    </w:pPr>
    <w:rPr>
      <w:rFonts w:ascii="Calibri" w:hAnsi="Calibri"/>
      <w:kern w:val="0"/>
      <w:sz w:val="22"/>
      <w:szCs w:val="22"/>
    </w:rPr>
  </w:style>
  <w:style w:type="paragraph" w:styleId="14">
    <w:name w:val="Plain Text"/>
    <w:basedOn w:val="1"/>
    <w:link w:val="50"/>
    <w:qFormat/>
    <w:uiPriority w:val="0"/>
    <w:rPr>
      <w:rFonts w:ascii="宋体" w:hAnsi="Courier New"/>
      <w:kern w:val="0"/>
      <w:sz w:val="20"/>
      <w:szCs w:val="21"/>
    </w:rPr>
  </w:style>
  <w:style w:type="paragraph" w:styleId="15">
    <w:name w:val="toc 8"/>
    <w:basedOn w:val="1"/>
    <w:next w:val="1"/>
    <w:qFormat/>
    <w:uiPriority w:val="99"/>
    <w:pPr>
      <w:ind w:left="2940" w:leftChars="1400"/>
    </w:pPr>
    <w:rPr>
      <w:rFonts w:ascii="Calibri" w:hAnsi="Calibri"/>
      <w:szCs w:val="22"/>
    </w:rPr>
  </w:style>
  <w:style w:type="paragraph" w:styleId="16">
    <w:name w:val="Date"/>
    <w:basedOn w:val="1"/>
    <w:next w:val="1"/>
    <w:link w:val="51"/>
    <w:qFormat/>
    <w:uiPriority w:val="0"/>
    <w:pPr>
      <w:ind w:left="100" w:leftChars="2500"/>
    </w:pPr>
    <w:rPr>
      <w:kern w:val="0"/>
      <w:sz w:val="28"/>
    </w:rPr>
  </w:style>
  <w:style w:type="paragraph" w:styleId="17">
    <w:name w:val="Body Text Indent 2"/>
    <w:basedOn w:val="1"/>
    <w:link w:val="52"/>
    <w:qFormat/>
    <w:uiPriority w:val="0"/>
    <w:pPr>
      <w:spacing w:line="380" w:lineRule="exact"/>
      <w:ind w:left="-360" w:leftChars="-175" w:firstLine="5" w:firstLineChars="2"/>
    </w:pPr>
    <w:rPr>
      <w:rFonts w:ascii="宋体" w:hAnsi="宋体"/>
      <w:kern w:val="0"/>
      <w:sz w:val="28"/>
    </w:rPr>
  </w:style>
  <w:style w:type="paragraph" w:styleId="18">
    <w:name w:val="Balloon Text"/>
    <w:basedOn w:val="1"/>
    <w:link w:val="53"/>
    <w:qFormat/>
    <w:uiPriority w:val="0"/>
    <w:rPr>
      <w:sz w:val="18"/>
      <w:szCs w:val="18"/>
    </w:rPr>
  </w:style>
  <w:style w:type="paragraph" w:styleId="19">
    <w:name w:val="footer"/>
    <w:basedOn w:val="1"/>
    <w:link w:val="54"/>
    <w:qFormat/>
    <w:uiPriority w:val="99"/>
    <w:pPr>
      <w:tabs>
        <w:tab w:val="center" w:pos="4153"/>
        <w:tab w:val="right" w:pos="8306"/>
      </w:tabs>
      <w:snapToGrid w:val="0"/>
      <w:jc w:val="left"/>
    </w:pPr>
    <w:rPr>
      <w:sz w:val="18"/>
      <w:szCs w:val="18"/>
    </w:rPr>
  </w:style>
  <w:style w:type="paragraph" w:styleId="20">
    <w:name w:val="header"/>
    <w:basedOn w:val="1"/>
    <w:link w:val="55"/>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widowControl/>
      <w:spacing w:after="100" w:line="276" w:lineRule="auto"/>
      <w:jc w:val="left"/>
    </w:pPr>
    <w:rPr>
      <w:rFonts w:ascii="Calibri" w:hAnsi="Calibri"/>
      <w:kern w:val="0"/>
      <w:sz w:val="22"/>
      <w:szCs w:val="22"/>
    </w:rPr>
  </w:style>
  <w:style w:type="paragraph" w:styleId="22">
    <w:name w:val="toc 4"/>
    <w:basedOn w:val="1"/>
    <w:next w:val="1"/>
    <w:qFormat/>
    <w:uiPriority w:val="99"/>
    <w:pPr>
      <w:ind w:left="1260" w:leftChars="600"/>
    </w:pPr>
    <w:rPr>
      <w:rFonts w:ascii="Calibri" w:hAnsi="Calibri"/>
      <w:szCs w:val="22"/>
    </w:rPr>
  </w:style>
  <w:style w:type="paragraph" w:styleId="23">
    <w:name w:val="Subtitle"/>
    <w:basedOn w:val="1"/>
    <w:next w:val="1"/>
    <w:link w:val="56"/>
    <w:qFormat/>
    <w:uiPriority w:val="0"/>
    <w:pPr>
      <w:spacing w:before="240" w:after="60" w:line="312" w:lineRule="auto"/>
      <w:jc w:val="center"/>
      <w:outlineLvl w:val="1"/>
    </w:pPr>
    <w:rPr>
      <w:rFonts w:ascii="Cambria" w:hAnsi="Cambria"/>
      <w:b/>
      <w:bCs/>
      <w:kern w:val="28"/>
      <w:sz w:val="32"/>
      <w:szCs w:val="32"/>
    </w:rPr>
  </w:style>
  <w:style w:type="paragraph" w:styleId="24">
    <w:name w:val="footnote text"/>
    <w:basedOn w:val="1"/>
    <w:link w:val="57"/>
    <w:qFormat/>
    <w:uiPriority w:val="99"/>
    <w:pPr>
      <w:snapToGrid w:val="0"/>
      <w:jc w:val="left"/>
    </w:pPr>
    <w:rPr>
      <w:kern w:val="0"/>
      <w:sz w:val="18"/>
      <w:szCs w:val="20"/>
    </w:rPr>
  </w:style>
  <w:style w:type="paragraph" w:styleId="25">
    <w:name w:val="toc 6"/>
    <w:basedOn w:val="1"/>
    <w:next w:val="1"/>
    <w:qFormat/>
    <w:uiPriority w:val="99"/>
    <w:pPr>
      <w:ind w:left="2100" w:leftChars="1000"/>
    </w:pPr>
    <w:rPr>
      <w:rFonts w:ascii="Calibri" w:hAnsi="Calibri"/>
      <w:szCs w:val="22"/>
    </w:rPr>
  </w:style>
  <w:style w:type="paragraph" w:styleId="26">
    <w:name w:val="Body Text Indent 3"/>
    <w:basedOn w:val="1"/>
    <w:link w:val="58"/>
    <w:qFormat/>
    <w:uiPriority w:val="0"/>
    <w:pPr>
      <w:spacing w:line="380" w:lineRule="exact"/>
      <w:ind w:left="-358" w:leftChars="-174" w:firstLine="535" w:firstLineChars="195"/>
    </w:pPr>
    <w:rPr>
      <w:rFonts w:ascii="宋体" w:hAnsi="宋体"/>
      <w:kern w:val="0"/>
      <w:sz w:val="28"/>
    </w:rPr>
  </w:style>
  <w:style w:type="paragraph" w:styleId="27">
    <w:name w:val="toc 2"/>
    <w:basedOn w:val="1"/>
    <w:next w:val="1"/>
    <w:qFormat/>
    <w:uiPriority w:val="99"/>
    <w:pPr>
      <w:widowControl/>
      <w:spacing w:after="100" w:line="276" w:lineRule="auto"/>
      <w:ind w:left="220"/>
      <w:jc w:val="left"/>
    </w:pPr>
    <w:rPr>
      <w:rFonts w:ascii="Calibri" w:hAnsi="Calibri"/>
      <w:kern w:val="0"/>
      <w:sz w:val="22"/>
      <w:szCs w:val="22"/>
    </w:rPr>
  </w:style>
  <w:style w:type="paragraph" w:styleId="28">
    <w:name w:val="toc 9"/>
    <w:basedOn w:val="1"/>
    <w:next w:val="1"/>
    <w:qFormat/>
    <w:uiPriority w:val="99"/>
    <w:pPr>
      <w:ind w:left="3360" w:leftChars="1600"/>
    </w:pPr>
    <w:rPr>
      <w:rFonts w:ascii="Calibri" w:hAnsi="Calibri"/>
      <w:szCs w:val="22"/>
    </w:rPr>
  </w:style>
  <w:style w:type="paragraph" w:styleId="29">
    <w:name w:val="HTML Preformatted"/>
    <w:basedOn w:val="1"/>
    <w:link w:val="59"/>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30">
    <w:name w:val="Normal (Web)"/>
    <w:basedOn w:val="1"/>
    <w:link w:val="60"/>
    <w:qFormat/>
    <w:uiPriority w:val="0"/>
    <w:pPr>
      <w:widowControl/>
      <w:spacing w:before="100" w:beforeAutospacing="1" w:after="100" w:afterAutospacing="1"/>
      <w:jc w:val="left"/>
    </w:pPr>
    <w:rPr>
      <w:rFonts w:ascii="宋体" w:hAnsi="宋体"/>
      <w:kern w:val="0"/>
      <w:sz w:val="24"/>
    </w:rPr>
  </w:style>
  <w:style w:type="paragraph" w:styleId="31">
    <w:name w:val="Title"/>
    <w:basedOn w:val="1"/>
    <w:next w:val="1"/>
    <w:link w:val="61"/>
    <w:qFormat/>
    <w:uiPriority w:val="0"/>
    <w:pPr>
      <w:spacing w:before="360" w:after="360" w:line="400" w:lineRule="exact"/>
      <w:jc w:val="center"/>
      <w:outlineLvl w:val="0"/>
    </w:pPr>
    <w:rPr>
      <w:rFonts w:eastAsia="黑体"/>
      <w:b/>
      <w:bCs/>
      <w:kern w:val="0"/>
      <w:sz w:val="36"/>
      <w:szCs w:val="32"/>
    </w:rPr>
  </w:style>
  <w:style w:type="paragraph" w:styleId="32">
    <w:name w:val="annotation subject"/>
    <w:basedOn w:val="9"/>
    <w:next w:val="9"/>
    <w:link w:val="62"/>
    <w:qFormat/>
    <w:uiPriority w:val="0"/>
    <w:rPr>
      <w:b/>
      <w:bCs/>
    </w:rPr>
  </w:style>
  <w:style w:type="table" w:styleId="34">
    <w:name w:val="Table Grid"/>
    <w:basedOn w:val="3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rFonts w:cs="Times New Roman"/>
      <w:b/>
      <w:bCs/>
    </w:rPr>
  </w:style>
  <w:style w:type="character" w:styleId="37">
    <w:name w:val="page number"/>
    <w:qFormat/>
    <w:uiPriority w:val="0"/>
    <w:rPr>
      <w:rFonts w:cs="Times New Roman"/>
    </w:rPr>
  </w:style>
  <w:style w:type="character" w:styleId="38">
    <w:name w:val="FollowedHyperlink"/>
    <w:qFormat/>
    <w:uiPriority w:val="99"/>
    <w:rPr>
      <w:rFonts w:cs="Times New Roman"/>
      <w:color w:val="800080"/>
      <w:u w:val="single"/>
    </w:rPr>
  </w:style>
  <w:style w:type="character" w:styleId="39">
    <w:name w:val="Emphasis"/>
    <w:qFormat/>
    <w:uiPriority w:val="99"/>
    <w:rPr>
      <w:color w:val="CC0000"/>
    </w:rPr>
  </w:style>
  <w:style w:type="character" w:styleId="40">
    <w:name w:val="Hyperlink"/>
    <w:unhideWhenUsed/>
    <w:qFormat/>
    <w:uiPriority w:val="99"/>
    <w:rPr>
      <w:color w:val="0000FF"/>
      <w:u w:val="single"/>
    </w:rPr>
  </w:style>
  <w:style w:type="character" w:styleId="41">
    <w:name w:val="annotation reference"/>
    <w:qFormat/>
    <w:uiPriority w:val="0"/>
    <w:rPr>
      <w:rFonts w:cs="Times New Roman"/>
      <w:sz w:val="21"/>
      <w:szCs w:val="21"/>
    </w:rPr>
  </w:style>
  <w:style w:type="character" w:styleId="42">
    <w:name w:val="footnote reference"/>
    <w:qFormat/>
    <w:uiPriority w:val="99"/>
    <w:rPr>
      <w:rFonts w:cs="Times New Roman"/>
      <w:vertAlign w:val="superscript"/>
    </w:rPr>
  </w:style>
  <w:style w:type="character" w:customStyle="1" w:styleId="43">
    <w:name w:val="标题 1 Char"/>
    <w:link w:val="2"/>
    <w:qFormat/>
    <w:uiPriority w:val="99"/>
    <w:rPr>
      <w:rFonts w:eastAsia="方正大标宋简体"/>
      <w:b/>
      <w:bCs/>
      <w:kern w:val="44"/>
      <w:sz w:val="36"/>
      <w:szCs w:val="44"/>
    </w:rPr>
  </w:style>
  <w:style w:type="character" w:customStyle="1" w:styleId="44">
    <w:name w:val="标题 2 Char"/>
    <w:link w:val="3"/>
    <w:qFormat/>
    <w:uiPriority w:val="0"/>
    <w:rPr>
      <w:rFonts w:ascii="黑体" w:hAnsi="黑体" w:eastAsia="黑体" w:cs="黑体"/>
      <w:bCs/>
      <w:sz w:val="28"/>
      <w:szCs w:val="32"/>
    </w:rPr>
  </w:style>
  <w:style w:type="character" w:customStyle="1" w:styleId="45">
    <w:name w:val="标题 3 Char"/>
    <w:link w:val="4"/>
    <w:qFormat/>
    <w:uiPriority w:val="99"/>
    <w:rPr>
      <w:rFonts w:eastAsia="仿宋"/>
      <w:b/>
      <w:bCs/>
      <w:kern w:val="2"/>
      <w:sz w:val="30"/>
      <w:szCs w:val="32"/>
    </w:rPr>
  </w:style>
  <w:style w:type="character" w:customStyle="1" w:styleId="46">
    <w:name w:val="标题 5 Char"/>
    <w:link w:val="5"/>
    <w:qFormat/>
    <w:uiPriority w:val="0"/>
    <w:rPr>
      <w:rFonts w:ascii="宋体" w:hAnsi="宋体" w:eastAsia="仿宋"/>
      <w:b/>
      <w:bCs/>
      <w:sz w:val="32"/>
    </w:rPr>
  </w:style>
  <w:style w:type="character" w:customStyle="1" w:styleId="47">
    <w:name w:val="文档结构图 Char"/>
    <w:link w:val="8"/>
    <w:qFormat/>
    <w:uiPriority w:val="0"/>
    <w:rPr>
      <w:rFonts w:ascii="宋体"/>
      <w:sz w:val="18"/>
      <w:szCs w:val="18"/>
    </w:rPr>
  </w:style>
  <w:style w:type="character" w:customStyle="1" w:styleId="48">
    <w:name w:val="批注文字 Char"/>
    <w:link w:val="9"/>
    <w:qFormat/>
    <w:uiPriority w:val="0"/>
    <w:rPr>
      <w:kern w:val="2"/>
      <w:sz w:val="21"/>
      <w:szCs w:val="24"/>
    </w:rPr>
  </w:style>
  <w:style w:type="character" w:customStyle="1" w:styleId="49">
    <w:name w:val="正文文本缩进 Char"/>
    <w:link w:val="11"/>
    <w:qFormat/>
    <w:uiPriority w:val="0"/>
    <w:rPr>
      <w:szCs w:val="24"/>
    </w:rPr>
  </w:style>
  <w:style w:type="character" w:customStyle="1" w:styleId="50">
    <w:name w:val="纯文本 Char"/>
    <w:link w:val="14"/>
    <w:qFormat/>
    <w:uiPriority w:val="0"/>
    <w:rPr>
      <w:rFonts w:ascii="宋体" w:hAnsi="Courier New"/>
      <w:szCs w:val="21"/>
    </w:rPr>
  </w:style>
  <w:style w:type="character" w:customStyle="1" w:styleId="51">
    <w:name w:val="日期 Char"/>
    <w:link w:val="16"/>
    <w:qFormat/>
    <w:uiPriority w:val="0"/>
    <w:rPr>
      <w:sz w:val="28"/>
      <w:szCs w:val="24"/>
    </w:rPr>
  </w:style>
  <w:style w:type="character" w:customStyle="1" w:styleId="52">
    <w:name w:val="正文文本缩进 2 Char"/>
    <w:link w:val="17"/>
    <w:qFormat/>
    <w:uiPriority w:val="0"/>
    <w:rPr>
      <w:rFonts w:ascii="宋体" w:hAnsi="宋体"/>
      <w:sz w:val="28"/>
      <w:szCs w:val="24"/>
    </w:rPr>
  </w:style>
  <w:style w:type="character" w:customStyle="1" w:styleId="53">
    <w:name w:val="批注框文本 Char"/>
    <w:link w:val="18"/>
    <w:qFormat/>
    <w:uiPriority w:val="0"/>
    <w:rPr>
      <w:kern w:val="2"/>
      <w:sz w:val="18"/>
      <w:szCs w:val="18"/>
    </w:rPr>
  </w:style>
  <w:style w:type="character" w:customStyle="1" w:styleId="54">
    <w:name w:val="页脚 Char"/>
    <w:link w:val="19"/>
    <w:qFormat/>
    <w:uiPriority w:val="99"/>
    <w:rPr>
      <w:kern w:val="2"/>
      <w:sz w:val="18"/>
      <w:szCs w:val="18"/>
    </w:rPr>
  </w:style>
  <w:style w:type="character" w:customStyle="1" w:styleId="55">
    <w:name w:val="页眉 Char"/>
    <w:link w:val="20"/>
    <w:qFormat/>
    <w:uiPriority w:val="0"/>
    <w:rPr>
      <w:kern w:val="2"/>
      <w:sz w:val="18"/>
      <w:szCs w:val="18"/>
    </w:rPr>
  </w:style>
  <w:style w:type="character" w:customStyle="1" w:styleId="56">
    <w:name w:val="副标题 Char"/>
    <w:link w:val="23"/>
    <w:qFormat/>
    <w:uiPriority w:val="0"/>
    <w:rPr>
      <w:rFonts w:ascii="Cambria" w:hAnsi="Cambria"/>
      <w:b/>
      <w:bCs/>
      <w:kern w:val="28"/>
      <w:sz w:val="32"/>
      <w:szCs w:val="32"/>
    </w:rPr>
  </w:style>
  <w:style w:type="character" w:customStyle="1" w:styleId="57">
    <w:name w:val="脚注文本 Char"/>
    <w:link w:val="24"/>
    <w:qFormat/>
    <w:uiPriority w:val="99"/>
    <w:rPr>
      <w:sz w:val="18"/>
    </w:rPr>
  </w:style>
  <w:style w:type="character" w:customStyle="1" w:styleId="58">
    <w:name w:val="正文文本缩进 3 Char"/>
    <w:link w:val="26"/>
    <w:qFormat/>
    <w:uiPriority w:val="0"/>
    <w:rPr>
      <w:rFonts w:ascii="宋体" w:hAnsi="宋体"/>
      <w:sz w:val="28"/>
      <w:szCs w:val="24"/>
    </w:rPr>
  </w:style>
  <w:style w:type="character" w:customStyle="1" w:styleId="59">
    <w:name w:val="HTML 预设格式 Char"/>
    <w:link w:val="29"/>
    <w:qFormat/>
    <w:uiPriority w:val="99"/>
    <w:rPr>
      <w:rFonts w:ascii="Arial" w:hAnsi="Arial"/>
      <w:sz w:val="24"/>
      <w:szCs w:val="24"/>
    </w:rPr>
  </w:style>
  <w:style w:type="character" w:customStyle="1" w:styleId="60">
    <w:name w:val="普通(网站) Char"/>
    <w:link w:val="30"/>
    <w:qFormat/>
    <w:uiPriority w:val="0"/>
    <w:rPr>
      <w:rFonts w:ascii="宋体" w:hAnsi="宋体" w:cs="宋体"/>
      <w:sz w:val="24"/>
      <w:szCs w:val="24"/>
    </w:rPr>
  </w:style>
  <w:style w:type="character" w:customStyle="1" w:styleId="61">
    <w:name w:val="标题 Char"/>
    <w:link w:val="31"/>
    <w:qFormat/>
    <w:uiPriority w:val="0"/>
    <w:rPr>
      <w:rFonts w:eastAsia="黑体"/>
      <w:b/>
      <w:bCs/>
      <w:sz w:val="36"/>
      <w:szCs w:val="32"/>
    </w:rPr>
  </w:style>
  <w:style w:type="character" w:customStyle="1" w:styleId="62">
    <w:name w:val="批注主题 Char"/>
    <w:link w:val="32"/>
    <w:qFormat/>
    <w:uiPriority w:val="0"/>
    <w:rPr>
      <w:b/>
      <w:bCs/>
      <w:kern w:val="2"/>
      <w:sz w:val="21"/>
      <w:szCs w:val="24"/>
    </w:rPr>
  </w:style>
  <w:style w:type="character" w:customStyle="1" w:styleId="63">
    <w:name w:val="副标题 Char1"/>
    <w:qFormat/>
    <w:uiPriority w:val="0"/>
    <w:rPr>
      <w:rFonts w:ascii="Cambria" w:hAnsi="Cambria" w:cs="Times New Roman"/>
      <w:b/>
      <w:bCs/>
      <w:kern w:val="28"/>
      <w:sz w:val="32"/>
      <w:szCs w:val="32"/>
    </w:rPr>
  </w:style>
  <w:style w:type="paragraph" w:customStyle="1" w:styleId="64">
    <w:name w:val="p0"/>
    <w:basedOn w:val="1"/>
    <w:qFormat/>
    <w:uiPriority w:val="0"/>
    <w:pPr>
      <w:widowControl/>
    </w:pPr>
    <w:rPr>
      <w:rFonts w:ascii="Calibri" w:hAnsi="Calibri" w:cs="宋体"/>
      <w:kern w:val="0"/>
      <w:szCs w:val="21"/>
    </w:rPr>
  </w:style>
  <w:style w:type="paragraph" w:styleId="65">
    <w:name w:val="List Paragraph"/>
    <w:basedOn w:val="1"/>
    <w:qFormat/>
    <w:uiPriority w:val="34"/>
    <w:pPr>
      <w:ind w:firstLine="420" w:firstLineChars="200"/>
    </w:pPr>
    <w:rPr>
      <w:rFonts w:ascii="Calibri" w:hAnsi="Calibri" w:eastAsia="宋体" w:cs="Times New Roman"/>
      <w:szCs w:val="22"/>
    </w:rPr>
  </w:style>
  <w:style w:type="paragraph" w:customStyle="1" w:styleId="66">
    <w:name w:val="Char"/>
    <w:basedOn w:val="1"/>
    <w:qFormat/>
    <w:uiPriority w:val="99"/>
    <w:rPr>
      <w:rFonts w:ascii="Tahoma" w:hAnsi="Tahoma"/>
      <w:sz w:val="24"/>
      <w:szCs w:val="20"/>
    </w:rPr>
  </w:style>
  <w:style w:type="paragraph" w:customStyle="1" w:styleId="67">
    <w:name w:val="列出段落1"/>
    <w:basedOn w:val="1"/>
    <w:qFormat/>
    <w:uiPriority w:val="34"/>
    <w:pPr>
      <w:ind w:firstLine="420" w:firstLineChars="200"/>
    </w:pPr>
  </w:style>
  <w:style w:type="paragraph" w:customStyle="1" w:styleId="68">
    <w:name w:val="a"/>
    <w:basedOn w:val="1"/>
    <w:qFormat/>
    <w:uiPriority w:val="99"/>
    <w:pPr>
      <w:widowControl/>
      <w:spacing w:before="100" w:beforeAutospacing="1" w:after="100" w:afterAutospacing="1"/>
      <w:jc w:val="left"/>
    </w:pPr>
    <w:rPr>
      <w:rFonts w:ascii="宋体" w:hAnsi="宋体" w:cs="宋体"/>
      <w:kern w:val="0"/>
      <w:sz w:val="24"/>
    </w:rPr>
  </w:style>
  <w:style w:type="paragraph" w:customStyle="1" w:styleId="69">
    <w:name w:val="Char2"/>
    <w:basedOn w:val="1"/>
    <w:qFormat/>
    <w:uiPriority w:val="99"/>
    <w:rPr>
      <w:rFonts w:ascii="Tahoma" w:hAnsi="Tahoma"/>
      <w:sz w:val="24"/>
      <w:szCs w:val="20"/>
    </w:rPr>
  </w:style>
  <w:style w:type="paragraph" w:customStyle="1" w:styleId="70">
    <w:name w:val="Char1"/>
    <w:basedOn w:val="1"/>
    <w:qFormat/>
    <w:uiPriority w:val="99"/>
    <w:rPr>
      <w:rFonts w:ascii="Tahoma" w:hAnsi="Tahoma"/>
      <w:sz w:val="24"/>
      <w:szCs w:val="20"/>
    </w:rPr>
  </w:style>
  <w:style w:type="paragraph" w:customStyle="1" w:styleId="71">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szCs w:val="20"/>
    </w:rPr>
  </w:style>
  <w:style w:type="paragraph" w:customStyle="1" w:styleId="72">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楷体_GB2312" w:hAnsi="宋体" w:eastAsia="楷体_GB2312" w:cs="宋体"/>
      <w:kern w:val="0"/>
      <w:sz w:val="20"/>
      <w:szCs w:val="20"/>
    </w:rPr>
  </w:style>
  <w:style w:type="paragraph" w:customStyle="1" w:styleId="7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7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76">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7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333333"/>
      <w:kern w:val="0"/>
      <w:sz w:val="20"/>
      <w:szCs w:val="20"/>
    </w:rPr>
  </w:style>
  <w:style w:type="paragraph" w:customStyle="1" w:styleId="7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楷体_GB2312" w:hAnsi="宋体" w:eastAsia="楷体_GB2312" w:cs="宋体"/>
      <w:color w:val="333333"/>
      <w:kern w:val="0"/>
      <w:sz w:val="20"/>
      <w:szCs w:val="20"/>
    </w:rPr>
  </w:style>
  <w:style w:type="paragraph" w:customStyle="1" w:styleId="79">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333333"/>
      <w:kern w:val="0"/>
      <w:sz w:val="20"/>
      <w:szCs w:val="20"/>
    </w:rPr>
  </w:style>
  <w:style w:type="paragraph" w:customStyle="1" w:styleId="8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81">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2">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0"/>
      <w:szCs w:val="20"/>
    </w:rPr>
  </w:style>
  <w:style w:type="paragraph" w:customStyle="1" w:styleId="83">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333333"/>
      <w:kern w:val="0"/>
      <w:sz w:val="20"/>
      <w:szCs w:val="20"/>
    </w:rPr>
  </w:style>
  <w:style w:type="paragraph" w:customStyle="1" w:styleId="84">
    <w:name w:val="xl78"/>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85">
    <w:name w:val="xl7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86">
    <w:name w:val="xl80"/>
    <w:basedOn w:val="1"/>
    <w:qFormat/>
    <w:uiPriority w:val="0"/>
    <w:pPr>
      <w:widowControl/>
      <w:spacing w:before="100" w:beforeAutospacing="1" w:after="100" w:afterAutospacing="1"/>
      <w:jc w:val="left"/>
    </w:pPr>
    <w:rPr>
      <w:kern w:val="0"/>
      <w:sz w:val="20"/>
      <w:szCs w:val="20"/>
    </w:rPr>
  </w:style>
  <w:style w:type="paragraph" w:customStyle="1" w:styleId="87">
    <w:name w:val="xl81"/>
    <w:basedOn w:val="1"/>
    <w:qFormat/>
    <w:uiPriority w:val="99"/>
    <w:pPr>
      <w:widowControl/>
      <w:spacing w:before="100" w:beforeAutospacing="1" w:after="100" w:afterAutospacing="1"/>
      <w:jc w:val="left"/>
    </w:pPr>
    <w:rPr>
      <w:rFonts w:ascii="宋体" w:hAnsi="宋体" w:cs="宋体"/>
      <w:kern w:val="0"/>
      <w:sz w:val="20"/>
      <w:szCs w:val="20"/>
    </w:rPr>
  </w:style>
  <w:style w:type="paragraph" w:customStyle="1" w:styleId="88">
    <w:name w:val="纯文本1"/>
    <w:basedOn w:val="1"/>
    <w:qFormat/>
    <w:uiPriority w:val="99"/>
    <w:pPr>
      <w:widowControl/>
      <w:adjustRightInd w:val="0"/>
      <w:snapToGrid w:val="0"/>
      <w:spacing w:after="200"/>
      <w:jc w:val="left"/>
    </w:pPr>
    <w:rPr>
      <w:rFonts w:ascii="宋体" w:hAnsi="Courier New" w:eastAsia="Times New Roman"/>
      <w:kern w:val="0"/>
      <w:sz w:val="20"/>
      <w:szCs w:val="20"/>
    </w:rPr>
  </w:style>
  <w:style w:type="paragraph" w:customStyle="1" w:styleId="89">
    <w:name w:val="纯文本2"/>
    <w:basedOn w:val="1"/>
    <w:qFormat/>
    <w:uiPriority w:val="99"/>
    <w:rPr>
      <w:rFonts w:ascii="宋体" w:hAnsi="Courier New" w:cs="Courier New"/>
      <w:szCs w:val="21"/>
    </w:rPr>
  </w:style>
  <w:style w:type="paragraph" w:customStyle="1" w:styleId="90">
    <w:name w:val="TOC 标题1"/>
    <w:basedOn w:val="2"/>
    <w:next w:val="1"/>
    <w:qFormat/>
    <w:uiPriority w:val="99"/>
    <w:pPr>
      <w:widowControl/>
      <w:spacing w:before="480" w:after="0" w:line="276" w:lineRule="auto"/>
      <w:jc w:val="left"/>
      <w:outlineLvl w:val="9"/>
    </w:pPr>
    <w:rPr>
      <w:rFonts w:ascii="Cambria" w:hAnsi="Cambria"/>
      <w:color w:val="365F91"/>
      <w:kern w:val="0"/>
      <w:sz w:val="28"/>
      <w:szCs w:val="28"/>
    </w:rPr>
  </w:style>
  <w:style w:type="paragraph" w:customStyle="1" w:styleId="91">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2">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93">
    <w:name w:val="font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94">
    <w:name w:val="font8"/>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95">
    <w:name w:val="cardlist-value"/>
    <w:basedOn w:val="1"/>
    <w:qFormat/>
    <w:uiPriority w:val="99"/>
    <w:pPr>
      <w:widowControl/>
      <w:spacing w:before="100" w:beforeAutospacing="1" w:after="100" w:afterAutospacing="1"/>
      <w:jc w:val="left"/>
    </w:pPr>
    <w:rPr>
      <w:rFonts w:ascii="宋体" w:hAnsi="宋体" w:cs="宋体"/>
      <w:kern w:val="0"/>
      <w:sz w:val="24"/>
    </w:rPr>
  </w:style>
  <w:style w:type="paragraph" w:customStyle="1" w:styleId="96">
    <w:name w:val="List Paragraph1"/>
    <w:basedOn w:val="1"/>
    <w:qFormat/>
    <w:uiPriority w:val="99"/>
    <w:pPr>
      <w:ind w:firstLine="420" w:firstLineChars="200"/>
    </w:pPr>
    <w:rPr>
      <w:rFonts w:ascii="Calibri" w:hAnsi="Calibri"/>
      <w:szCs w:val="22"/>
    </w:rPr>
  </w:style>
  <w:style w:type="paragraph" w:customStyle="1" w:styleId="97">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98">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9">
    <w:name w:val="列出段落11"/>
    <w:basedOn w:val="1"/>
    <w:qFormat/>
    <w:uiPriority w:val="99"/>
    <w:pPr>
      <w:ind w:firstLine="420" w:firstLineChars="200"/>
    </w:pPr>
    <w:rPr>
      <w:rFonts w:ascii="Calibri" w:hAnsi="Calibri"/>
      <w:szCs w:val="22"/>
    </w:rPr>
  </w:style>
  <w:style w:type="paragraph" w:customStyle="1" w:styleId="100">
    <w:name w:val="列出段落2"/>
    <w:basedOn w:val="1"/>
    <w:qFormat/>
    <w:uiPriority w:val="99"/>
    <w:pPr>
      <w:ind w:firstLine="420" w:firstLineChars="200"/>
    </w:pPr>
    <w:rPr>
      <w:rFonts w:ascii="Calibri" w:hAnsi="Calibri"/>
      <w:szCs w:val="22"/>
    </w:rPr>
  </w:style>
  <w:style w:type="paragraph" w:customStyle="1" w:styleId="101">
    <w:name w:val="列出段落3"/>
    <w:basedOn w:val="1"/>
    <w:qFormat/>
    <w:uiPriority w:val="99"/>
    <w:pPr>
      <w:ind w:firstLine="420" w:firstLineChars="200"/>
    </w:pPr>
    <w:rPr>
      <w:rFonts w:ascii="Calibri" w:hAnsi="Calibri"/>
      <w:szCs w:val="22"/>
    </w:rPr>
  </w:style>
  <w:style w:type="paragraph" w:customStyle="1" w:styleId="102">
    <w:name w:val="列出段落4"/>
    <w:basedOn w:val="1"/>
    <w:qFormat/>
    <w:uiPriority w:val="99"/>
    <w:pPr>
      <w:ind w:firstLine="420" w:firstLineChars="200"/>
    </w:pPr>
    <w:rPr>
      <w:rFonts w:ascii="Calibri" w:hAnsi="Calibri"/>
      <w:szCs w:val="22"/>
    </w:rPr>
  </w:style>
  <w:style w:type="paragraph" w:customStyle="1" w:styleId="103">
    <w:name w:val="txt_arial"/>
    <w:basedOn w:val="1"/>
    <w:qFormat/>
    <w:uiPriority w:val="99"/>
    <w:pPr>
      <w:jc w:val="left"/>
    </w:pPr>
    <w:rPr>
      <w:rFonts w:ascii="Arial" w:hAnsi="Arial" w:cs="Arial"/>
      <w:kern w:val="0"/>
      <w:sz w:val="24"/>
    </w:rPr>
  </w:style>
  <w:style w:type="paragraph" w:customStyle="1" w:styleId="104">
    <w:name w:val="无间隔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05">
    <w:name w:val="font9"/>
    <w:basedOn w:val="1"/>
    <w:qFormat/>
    <w:uiPriority w:val="0"/>
    <w:pPr>
      <w:widowControl/>
      <w:spacing w:before="100" w:beforeAutospacing="1" w:after="100" w:afterAutospacing="1"/>
      <w:jc w:val="left"/>
    </w:pPr>
    <w:rPr>
      <w:rFonts w:ascii="宋体" w:hAnsi="宋体" w:cs="宋体"/>
      <w:kern w:val="0"/>
      <w:sz w:val="16"/>
      <w:szCs w:val="16"/>
    </w:rPr>
  </w:style>
  <w:style w:type="paragraph" w:customStyle="1" w:styleId="106">
    <w:name w:val="font10"/>
    <w:basedOn w:val="1"/>
    <w:qFormat/>
    <w:uiPriority w:val="0"/>
    <w:pPr>
      <w:widowControl/>
      <w:spacing w:before="100" w:beforeAutospacing="1" w:after="100" w:afterAutospacing="1"/>
      <w:jc w:val="left"/>
    </w:pPr>
    <w:rPr>
      <w:b/>
      <w:bCs/>
      <w:kern w:val="0"/>
      <w:sz w:val="16"/>
      <w:szCs w:val="16"/>
    </w:rPr>
  </w:style>
  <w:style w:type="paragraph" w:customStyle="1" w:styleId="107">
    <w:name w:val="font11"/>
    <w:basedOn w:val="1"/>
    <w:qFormat/>
    <w:uiPriority w:val="0"/>
    <w:pPr>
      <w:widowControl/>
      <w:spacing w:before="100" w:beforeAutospacing="1" w:after="100" w:afterAutospacing="1"/>
      <w:jc w:val="left"/>
    </w:pPr>
    <w:rPr>
      <w:rFonts w:ascii="宋体" w:hAnsi="宋体" w:cs="宋体"/>
      <w:b/>
      <w:bCs/>
      <w:kern w:val="0"/>
      <w:sz w:val="16"/>
      <w:szCs w:val="16"/>
    </w:rPr>
  </w:style>
  <w:style w:type="paragraph" w:customStyle="1" w:styleId="108">
    <w:name w:val="font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9">
    <w:name w:val="font13"/>
    <w:basedOn w:val="1"/>
    <w:qFormat/>
    <w:uiPriority w:val="0"/>
    <w:pPr>
      <w:widowControl/>
      <w:spacing w:before="100" w:beforeAutospacing="1" w:after="100" w:afterAutospacing="1"/>
      <w:jc w:val="left"/>
    </w:pPr>
    <w:rPr>
      <w:rFonts w:ascii="Arial" w:hAnsi="Arial" w:cs="Arial"/>
      <w:kern w:val="0"/>
      <w:sz w:val="20"/>
      <w:szCs w:val="20"/>
    </w:rPr>
  </w:style>
  <w:style w:type="paragraph" w:customStyle="1" w:styleId="110">
    <w:name w:val="font14"/>
    <w:basedOn w:val="1"/>
    <w:qFormat/>
    <w:uiPriority w:val="0"/>
    <w:pPr>
      <w:widowControl/>
      <w:spacing w:before="100" w:beforeAutospacing="1" w:after="100" w:afterAutospacing="1"/>
      <w:jc w:val="left"/>
    </w:pPr>
    <w:rPr>
      <w:rFonts w:ascii="宋体" w:hAnsi="宋体" w:cs="宋体"/>
      <w:color w:val="333300"/>
      <w:kern w:val="0"/>
      <w:sz w:val="22"/>
      <w:szCs w:val="22"/>
    </w:rPr>
  </w:style>
  <w:style w:type="paragraph" w:customStyle="1" w:styleId="111">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2">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3">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kern w:val="0"/>
      <w:sz w:val="22"/>
      <w:szCs w:val="22"/>
    </w:rPr>
  </w:style>
  <w:style w:type="paragraph" w:customStyle="1" w:styleId="114">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5">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6">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7">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kern w:val="0"/>
      <w:sz w:val="22"/>
      <w:szCs w:val="22"/>
    </w:rPr>
  </w:style>
  <w:style w:type="paragraph" w:customStyle="1" w:styleId="118">
    <w:name w:val="xl9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24"/>
    </w:rPr>
  </w:style>
  <w:style w:type="paragraph" w:customStyle="1" w:styleId="119">
    <w:name w:val="xl9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Arial" w:hAnsi="Arial" w:cs="Arial"/>
      <w:kern w:val="0"/>
      <w:sz w:val="22"/>
      <w:szCs w:val="22"/>
    </w:rPr>
  </w:style>
  <w:style w:type="paragraph" w:customStyle="1" w:styleId="120">
    <w:name w:val="xl9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24"/>
    </w:rPr>
  </w:style>
  <w:style w:type="paragraph" w:customStyle="1" w:styleId="121">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color w:val="333333"/>
      <w:kern w:val="0"/>
      <w:sz w:val="22"/>
      <w:szCs w:val="22"/>
    </w:rPr>
  </w:style>
  <w:style w:type="paragraph" w:customStyle="1" w:styleId="122">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333333"/>
      <w:kern w:val="0"/>
      <w:sz w:val="24"/>
    </w:rPr>
  </w:style>
  <w:style w:type="paragraph" w:customStyle="1" w:styleId="123">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0"/>
      <w:szCs w:val="30"/>
    </w:rPr>
  </w:style>
  <w:style w:type="paragraph" w:customStyle="1" w:styleId="124">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0000"/>
      <w:kern w:val="0"/>
      <w:sz w:val="24"/>
    </w:rPr>
  </w:style>
  <w:style w:type="paragraph" w:customStyle="1" w:styleId="125">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color w:val="000000"/>
      <w:kern w:val="0"/>
      <w:sz w:val="22"/>
      <w:szCs w:val="22"/>
    </w:rPr>
  </w:style>
  <w:style w:type="paragraph" w:customStyle="1" w:styleId="126">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color w:val="000000"/>
      <w:kern w:val="0"/>
      <w:sz w:val="22"/>
      <w:szCs w:val="22"/>
    </w:rPr>
  </w:style>
  <w:style w:type="paragraph" w:customStyle="1" w:styleId="127">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color w:val="808080"/>
      <w:kern w:val="0"/>
      <w:sz w:val="22"/>
      <w:szCs w:val="22"/>
    </w:rPr>
  </w:style>
  <w:style w:type="paragraph" w:customStyle="1" w:styleId="128">
    <w:name w:val="xl10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cs="宋体"/>
      <w:kern w:val="0"/>
      <w:sz w:val="24"/>
    </w:rPr>
  </w:style>
  <w:style w:type="paragraph" w:customStyle="1" w:styleId="129">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color w:val="000000"/>
      <w:kern w:val="0"/>
      <w:sz w:val="22"/>
      <w:szCs w:val="22"/>
    </w:rPr>
  </w:style>
  <w:style w:type="paragraph" w:customStyle="1" w:styleId="130">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1">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瀹嬩綋" w:hAnsi="宋体" w:eastAsia="瀹嬩綋" w:cs="宋体"/>
      <w:kern w:val="0"/>
      <w:sz w:val="24"/>
    </w:rPr>
  </w:style>
  <w:style w:type="paragraph" w:customStyle="1" w:styleId="132">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808080"/>
      <w:kern w:val="0"/>
      <w:sz w:val="24"/>
    </w:rPr>
  </w:style>
  <w:style w:type="paragraph" w:customStyle="1" w:styleId="133">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8"/>
      <w:szCs w:val="28"/>
    </w:rPr>
  </w:style>
  <w:style w:type="paragraph" w:customStyle="1" w:styleId="134">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5">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6">
    <w:name w:val="xl114"/>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cs="宋体"/>
      <w:kern w:val="0"/>
      <w:sz w:val="30"/>
      <w:szCs w:val="30"/>
    </w:rPr>
  </w:style>
  <w:style w:type="paragraph" w:customStyle="1" w:styleId="137">
    <w:name w:val="xl11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Arial" w:hAnsi="Arial" w:cs="Arial"/>
      <w:kern w:val="0"/>
      <w:sz w:val="22"/>
      <w:szCs w:val="22"/>
    </w:rPr>
  </w:style>
  <w:style w:type="paragraph" w:customStyle="1" w:styleId="138">
    <w:name w:val="xl116"/>
    <w:basedOn w:val="1"/>
    <w:qFormat/>
    <w:uiPriority w:val="0"/>
    <w:pPr>
      <w:widowControl/>
      <w:pBdr>
        <w:top w:val="single" w:color="auto" w:sz="4" w:space="0"/>
        <w:left w:val="single" w:color="auto" w:sz="4" w:space="18"/>
        <w:bottom w:val="single" w:color="auto" w:sz="4" w:space="0"/>
        <w:right w:val="single" w:color="auto" w:sz="4" w:space="0"/>
      </w:pBdr>
      <w:shd w:val="clear" w:color="000000" w:fill="FFFF00"/>
      <w:spacing w:before="100" w:beforeAutospacing="1" w:after="100" w:afterAutospacing="1"/>
      <w:ind w:firstLine="100" w:firstLineChars="100"/>
      <w:jc w:val="center"/>
    </w:pPr>
    <w:rPr>
      <w:rFonts w:ascii="宋体" w:hAnsi="宋体" w:cs="宋体"/>
      <w:color w:val="333333"/>
      <w:kern w:val="0"/>
      <w:sz w:val="24"/>
    </w:rPr>
  </w:style>
  <w:style w:type="paragraph" w:customStyle="1" w:styleId="139">
    <w:name w:val="xl1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Arial" w:hAnsi="Arial" w:cs="Arial"/>
      <w:color w:val="808080"/>
      <w:kern w:val="0"/>
      <w:sz w:val="22"/>
      <w:szCs w:val="22"/>
    </w:rPr>
  </w:style>
  <w:style w:type="paragraph" w:customStyle="1" w:styleId="140">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color w:val="333300"/>
      <w:kern w:val="0"/>
      <w:sz w:val="22"/>
      <w:szCs w:val="22"/>
    </w:rPr>
  </w:style>
  <w:style w:type="paragraph" w:customStyle="1" w:styleId="141">
    <w:name w:val="xl119"/>
    <w:basedOn w:val="1"/>
    <w:qFormat/>
    <w:uiPriority w:val="0"/>
    <w:pPr>
      <w:widowControl/>
      <w:pBdr>
        <w:top w:val="single" w:color="auto" w:sz="4" w:space="0"/>
        <w:left w:val="single" w:color="auto" w:sz="4" w:space="18"/>
        <w:bottom w:val="single" w:color="auto" w:sz="4" w:space="0"/>
        <w:right w:val="single" w:color="auto" w:sz="4" w:space="0"/>
      </w:pBdr>
      <w:shd w:val="clear" w:color="000000" w:fill="FFFFFF"/>
      <w:spacing w:before="100" w:beforeAutospacing="1" w:after="100" w:afterAutospacing="1"/>
      <w:ind w:firstLine="100" w:firstLineChars="100"/>
      <w:jc w:val="center"/>
    </w:pPr>
    <w:rPr>
      <w:rFonts w:ascii="宋体" w:hAnsi="宋体" w:cs="宋体"/>
      <w:kern w:val="0"/>
      <w:sz w:val="24"/>
    </w:rPr>
  </w:style>
  <w:style w:type="paragraph" w:customStyle="1" w:styleId="142">
    <w:name w:val="xl120"/>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cs="宋体"/>
      <w:kern w:val="0"/>
      <w:sz w:val="24"/>
    </w:rPr>
  </w:style>
  <w:style w:type="paragraph" w:customStyle="1" w:styleId="143">
    <w:name w:val="xl121"/>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cs="宋体"/>
      <w:kern w:val="0"/>
      <w:sz w:val="24"/>
    </w:rPr>
  </w:style>
  <w:style w:type="paragraph" w:customStyle="1" w:styleId="144">
    <w:name w:val="xl122"/>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cs="宋体"/>
      <w:kern w:val="0"/>
      <w:sz w:val="24"/>
    </w:rPr>
  </w:style>
  <w:style w:type="character" w:customStyle="1" w:styleId="145">
    <w:name w:val="Plain Text Char"/>
    <w:qFormat/>
    <w:locked/>
    <w:uiPriority w:val="99"/>
    <w:rPr>
      <w:rFonts w:ascii="宋体" w:hAnsi="Courier New" w:eastAsia="宋体"/>
      <w:kern w:val="2"/>
      <w:sz w:val="21"/>
      <w:lang w:val="en-US" w:eastAsia="zh-CN"/>
    </w:rPr>
  </w:style>
  <w:style w:type="character" w:customStyle="1" w:styleId="146">
    <w:name w:val="Char Char2"/>
    <w:qFormat/>
    <w:uiPriority w:val="99"/>
    <w:rPr>
      <w:rFonts w:ascii="宋体" w:hAnsi="Courier New" w:eastAsia="宋体" w:cs="Courier New"/>
      <w:kern w:val="2"/>
      <w:sz w:val="21"/>
      <w:szCs w:val="21"/>
      <w:lang w:val="en-US" w:eastAsia="zh-CN" w:bidi="ar-SA"/>
    </w:rPr>
  </w:style>
  <w:style w:type="character" w:customStyle="1" w:styleId="147">
    <w:name w:val="apple-style-span"/>
    <w:qFormat/>
    <w:uiPriority w:val="0"/>
    <w:rPr>
      <w:rFonts w:cs="Times New Roman"/>
    </w:rPr>
  </w:style>
  <w:style w:type="character" w:customStyle="1" w:styleId="148">
    <w:name w:val="apple-tab-span"/>
    <w:qFormat/>
    <w:uiPriority w:val="0"/>
    <w:rPr>
      <w:rFonts w:cs="Times New Roman"/>
    </w:rPr>
  </w:style>
  <w:style w:type="character" w:customStyle="1" w:styleId="149">
    <w:name w:val="Char Char1"/>
    <w:qFormat/>
    <w:locked/>
    <w:uiPriority w:val="0"/>
    <w:rPr>
      <w:rFonts w:ascii="宋体" w:hAnsi="Courier New" w:eastAsia="宋体" w:cs="Courier New"/>
      <w:kern w:val="2"/>
      <w:sz w:val="21"/>
      <w:szCs w:val="21"/>
      <w:lang w:val="en-US" w:eastAsia="zh-CN" w:bidi="ar-SA"/>
    </w:rPr>
  </w:style>
  <w:style w:type="character" w:customStyle="1" w:styleId="150">
    <w:name w:val="Char Char11"/>
    <w:qFormat/>
    <w:uiPriority w:val="99"/>
    <w:rPr>
      <w:rFonts w:ascii="宋体" w:hAnsi="Courier New"/>
      <w:kern w:val="2"/>
      <w:sz w:val="21"/>
    </w:rPr>
  </w:style>
  <w:style w:type="character" w:customStyle="1" w:styleId="151">
    <w:name w:val="Char Char3"/>
    <w:qFormat/>
    <w:uiPriority w:val="99"/>
    <w:rPr>
      <w:rFonts w:ascii="宋体" w:hAnsi="Courier New" w:eastAsia="宋体"/>
      <w:kern w:val="2"/>
      <w:sz w:val="21"/>
      <w:lang w:val="en-US" w:eastAsia="zh-CN"/>
    </w:rPr>
  </w:style>
  <w:style w:type="character" w:customStyle="1" w:styleId="152">
    <w:name w:val="Char Char"/>
    <w:qFormat/>
    <w:uiPriority w:val="99"/>
    <w:rPr>
      <w:rFonts w:ascii="宋体" w:hAnsi="Courier New" w:eastAsia="宋体" w:cs="Courier New"/>
      <w:kern w:val="2"/>
      <w:sz w:val="21"/>
      <w:szCs w:val="21"/>
      <w:lang w:val="en-US" w:eastAsia="zh-CN" w:bidi="ar-SA"/>
    </w:rPr>
  </w:style>
  <w:style w:type="character" w:customStyle="1" w:styleId="153">
    <w:name w:val="纯文本 Char1"/>
    <w:qFormat/>
    <w:uiPriority w:val="0"/>
    <w:rPr>
      <w:rFonts w:ascii="宋体" w:hAnsi="Courier New" w:eastAsia="宋体"/>
      <w:kern w:val="2"/>
      <w:sz w:val="21"/>
      <w:lang w:val="en-US" w:eastAsia="zh-CN"/>
    </w:rPr>
  </w:style>
  <w:style w:type="character" w:customStyle="1" w:styleId="154">
    <w:name w:val="脚注文本 Char1"/>
    <w:qFormat/>
    <w:uiPriority w:val="99"/>
    <w:rPr>
      <w:rFonts w:ascii="Times New Roman" w:hAnsi="Times New Roman" w:eastAsia="宋体" w:cs="Times New Roman"/>
      <w:sz w:val="18"/>
      <w:szCs w:val="18"/>
    </w:rPr>
  </w:style>
  <w:style w:type="character" w:customStyle="1" w:styleId="155">
    <w:name w:val="Footnote Text Char1"/>
    <w:semiHidden/>
    <w:qFormat/>
    <w:uiPriority w:val="99"/>
    <w:rPr>
      <w:sz w:val="18"/>
      <w:szCs w:val="18"/>
    </w:rPr>
  </w:style>
  <w:style w:type="character" w:customStyle="1" w:styleId="156">
    <w:name w:val="apple-converted-space"/>
    <w:qFormat/>
    <w:uiPriority w:val="0"/>
    <w:rPr>
      <w:rFonts w:cs="Times New Roman"/>
    </w:rPr>
  </w:style>
  <w:style w:type="character" w:customStyle="1" w:styleId="157">
    <w:name w:val="pageheadername1"/>
    <w:qFormat/>
    <w:uiPriority w:val="99"/>
    <w:rPr>
      <w:rFonts w:ascii="Verdana" w:hAnsi="Verdana" w:cs="Times New Roman"/>
      <w:color w:val="333333"/>
    </w:rPr>
  </w:style>
  <w:style w:type="character" w:customStyle="1" w:styleId="158">
    <w:name w:val="pageheadername"/>
    <w:qFormat/>
    <w:uiPriority w:val="99"/>
    <w:rPr>
      <w:rFonts w:cs="Times New Roman"/>
    </w:rPr>
  </w:style>
  <w:style w:type="character" w:customStyle="1" w:styleId="159">
    <w:name w:val="pissn"/>
    <w:qFormat/>
    <w:uiPriority w:val="99"/>
    <w:rPr>
      <w:rFonts w:cs="Times New Roman"/>
    </w:rPr>
  </w:style>
  <w:style w:type="character" w:customStyle="1" w:styleId="160">
    <w:name w:val="eissn"/>
    <w:qFormat/>
    <w:uiPriority w:val="99"/>
    <w:rPr>
      <w:rFonts w:cs="Times New Roman"/>
    </w:rPr>
  </w:style>
  <w:style w:type="character" w:customStyle="1" w:styleId="161">
    <w:name w:val="Footnote Text Char"/>
    <w:qFormat/>
    <w:locked/>
    <w:uiPriority w:val="99"/>
    <w:rPr>
      <w:kern w:val="2"/>
      <w:sz w:val="18"/>
    </w:rPr>
  </w:style>
  <w:style w:type="character" w:customStyle="1" w:styleId="162">
    <w:name w:val="def"/>
    <w:qFormat/>
    <w:uiPriority w:val="99"/>
    <w:rPr>
      <w:rFonts w:cs="Times New Roman"/>
    </w:rPr>
  </w:style>
  <w:style w:type="character" w:customStyle="1" w:styleId="163">
    <w:name w:val="web-item2"/>
    <w:qFormat/>
    <w:uiPriority w:val="99"/>
    <w:rPr>
      <w:rFonts w:cs="Times New Roman"/>
      <w:sz w:val="18"/>
      <w:szCs w:val="18"/>
    </w:rPr>
  </w:style>
  <w:style w:type="character" w:customStyle="1" w:styleId="164">
    <w:name w:val="pl"/>
    <w:qFormat/>
    <w:uiPriority w:val="99"/>
    <w:rPr>
      <w:rFonts w:cs="Times New Roman"/>
    </w:rPr>
  </w:style>
  <w:style w:type="character" w:customStyle="1" w:styleId="165">
    <w:name w:val="ask-title2"/>
    <w:basedOn w:val="35"/>
    <w:qFormat/>
    <w:uiPriority w:val="0"/>
  </w:style>
  <w:style w:type="character" w:customStyle="1" w:styleId="166">
    <w:name w:val="st1"/>
    <w:qFormat/>
    <w:uiPriority w:val="99"/>
    <w:rPr>
      <w:rFonts w:cs="Times New Roman"/>
    </w:rPr>
  </w:style>
  <w:style w:type="table" w:customStyle="1" w:styleId="167">
    <w:name w:val="nimei"/>
    <w:basedOn w:val="33"/>
    <w:qFormat/>
    <w:uiPriority w:val="0"/>
    <w:pPr>
      <w:jc w:val="center"/>
    </w:pPr>
    <w:tblPr>
      <w:tblBorders>
        <w:top w:val="single" w:color="auto" w:sz="12" w:space="0"/>
        <w:bottom w:val="single" w:color="auto" w:sz="12" w:space="0"/>
      </w:tblBorders>
    </w:tblPr>
    <w:tcPr>
      <w:vAlign w:val="center"/>
    </w:tcPr>
  </w:style>
  <w:style w:type="paragraph" w:customStyle="1" w:styleId="168">
    <w:name w:val="样式1"/>
    <w:basedOn w:val="30"/>
    <w:link w:val="169"/>
    <w:qFormat/>
    <w:uiPriority w:val="0"/>
    <w:pPr>
      <w:shd w:val="clear" w:color="auto" w:fill="FFFFD9"/>
      <w:spacing w:line="480" w:lineRule="auto"/>
      <w:ind w:firstLine="551" w:firstLineChars="196"/>
    </w:pPr>
    <w:rPr>
      <w:rFonts w:eastAsia="仿宋_GB2312"/>
      <w:b/>
      <w:kern w:val="2"/>
      <w:sz w:val="28"/>
      <w:szCs w:val="21"/>
    </w:rPr>
  </w:style>
  <w:style w:type="character" w:customStyle="1" w:styleId="169">
    <w:name w:val="样式1 Char"/>
    <w:link w:val="168"/>
    <w:qFormat/>
    <w:uiPriority w:val="0"/>
    <w:rPr>
      <w:rFonts w:ascii="宋体" w:hAnsi="宋体" w:eastAsia="仿宋_GB2312" w:cs="宋体"/>
      <w:b/>
      <w:kern w:val="2"/>
      <w:sz w:val="28"/>
      <w:szCs w:val="21"/>
      <w:shd w:val="clear" w:color="auto" w:fill="FFFFD9"/>
    </w:rPr>
  </w:style>
  <w:style w:type="table" w:customStyle="1" w:styleId="170">
    <w:name w:val="网格型1"/>
    <w:basedOn w:val="33"/>
    <w:qFormat/>
    <w:uiPriority w:val="5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1">
    <w:name w:val=" Char Char2"/>
    <w:qFormat/>
    <w:uiPriority w:val="0"/>
    <w:rPr>
      <w:rFonts w:ascii="宋体" w:hAnsi="Courier New" w:eastAsia="宋体" w:cs="Courier New"/>
      <w:kern w:val="2"/>
      <w:sz w:val="21"/>
      <w:szCs w:val="21"/>
      <w:lang w:val="en-US" w:eastAsia="zh-CN" w:bidi="ar-SA"/>
    </w:rPr>
  </w:style>
  <w:style w:type="character" w:customStyle="1" w:styleId="172">
    <w:name w:val="正文文本缩进 3 Char1"/>
    <w:semiHidden/>
    <w:qFormat/>
    <w:uiPriority w:val="99"/>
    <w:rPr>
      <w:kern w:val="2"/>
      <w:sz w:val="16"/>
      <w:szCs w:val="16"/>
    </w:rPr>
  </w:style>
  <w:style w:type="character" w:customStyle="1" w:styleId="173">
    <w:name w:val="页眉 Char1"/>
    <w:semiHidden/>
    <w:qFormat/>
    <w:uiPriority w:val="0"/>
    <w:rPr>
      <w:kern w:val="2"/>
      <w:sz w:val="18"/>
      <w:szCs w:val="18"/>
    </w:rPr>
  </w:style>
  <w:style w:type="character" w:customStyle="1" w:styleId="174">
    <w:name w:val="文档结构图 Char1"/>
    <w:semiHidden/>
    <w:qFormat/>
    <w:uiPriority w:val="99"/>
    <w:rPr>
      <w:rFonts w:ascii="宋体"/>
      <w:kern w:val="2"/>
      <w:sz w:val="18"/>
      <w:szCs w:val="18"/>
    </w:rPr>
  </w:style>
  <w:style w:type="character" w:customStyle="1" w:styleId="175">
    <w:name w:val="页脚 Char1"/>
    <w:semiHidden/>
    <w:qFormat/>
    <w:uiPriority w:val="0"/>
    <w:rPr>
      <w:kern w:val="2"/>
      <w:sz w:val="18"/>
      <w:szCs w:val="18"/>
    </w:rPr>
  </w:style>
  <w:style w:type="character" w:customStyle="1" w:styleId="176">
    <w:name w:val="正文文本缩进 Char1"/>
    <w:semiHidden/>
    <w:qFormat/>
    <w:uiPriority w:val="99"/>
    <w:rPr>
      <w:kern w:val="2"/>
      <w:sz w:val="21"/>
      <w:szCs w:val="24"/>
    </w:rPr>
  </w:style>
  <w:style w:type="character" w:customStyle="1" w:styleId="177">
    <w:name w:val="正文文本缩进 2 Char1"/>
    <w:semiHidden/>
    <w:qFormat/>
    <w:uiPriority w:val="99"/>
    <w:rPr>
      <w:kern w:val="2"/>
      <w:sz w:val="21"/>
      <w:szCs w:val="24"/>
    </w:rPr>
  </w:style>
  <w:style w:type="paragraph" w:customStyle="1" w:styleId="178">
    <w:name w:val="List Paragraph21"/>
    <w:basedOn w:val="1"/>
    <w:qFormat/>
    <w:uiPriority w:val="0"/>
    <w:pPr>
      <w:ind w:firstLine="420" w:firstLineChars="200"/>
    </w:pPr>
    <w:rPr>
      <w:rFonts w:ascii="Calibri" w:hAnsi="Calibri"/>
      <w:szCs w:val="22"/>
    </w:rPr>
  </w:style>
  <w:style w:type="paragraph" w:customStyle="1" w:styleId="179">
    <w:name w:val=" Char"/>
    <w:basedOn w:val="1"/>
    <w:qFormat/>
    <w:uiPriority w:val="0"/>
    <w:rPr>
      <w:rFonts w:ascii="Tahoma" w:hAnsi="Tahoma"/>
      <w:sz w:val="24"/>
      <w:szCs w:val="20"/>
    </w:rPr>
  </w:style>
  <w:style w:type="paragraph" w:customStyle="1" w:styleId="180">
    <w:name w:val="List Paragraph2"/>
    <w:basedOn w:val="1"/>
    <w:qFormat/>
    <w:uiPriority w:val="99"/>
    <w:pPr>
      <w:ind w:firstLine="420" w:firstLineChars="200"/>
    </w:pPr>
    <w:rPr>
      <w:rFonts w:ascii="Calibri" w:hAnsi="Calibri"/>
      <w:szCs w:val="22"/>
    </w:rPr>
  </w:style>
  <w:style w:type="character" w:customStyle="1" w:styleId="181">
    <w:name w:val="font01"/>
    <w:qFormat/>
    <w:uiPriority w:val="0"/>
    <w:rPr>
      <w:rFonts w:hint="eastAsia" w:ascii="宋体" w:hAnsi="宋体" w:eastAsia="宋体"/>
      <w:color w:val="000000"/>
      <w:sz w:val="24"/>
      <w:szCs w:val="24"/>
      <w:u w:val="none"/>
    </w:rPr>
  </w:style>
  <w:style w:type="character" w:customStyle="1" w:styleId="182">
    <w:name w:val="标题 1 字符"/>
    <w:qFormat/>
    <w:uiPriority w:val="99"/>
    <w:rPr>
      <w:rFonts w:eastAsia="方正大标宋简体"/>
      <w:b/>
      <w:bCs/>
      <w:kern w:val="44"/>
      <w:sz w:val="36"/>
      <w:szCs w:val="44"/>
    </w:rPr>
  </w:style>
  <w:style w:type="character" w:customStyle="1" w:styleId="183">
    <w:name w:val="标题 2 字符"/>
    <w:qFormat/>
    <w:uiPriority w:val="0"/>
    <w:rPr>
      <w:rFonts w:eastAsia="仿宋_GB2312"/>
      <w:b/>
      <w:bCs/>
      <w:kern w:val="2"/>
      <w:sz w:val="32"/>
      <w:szCs w:val="32"/>
    </w:rPr>
  </w:style>
  <w:style w:type="paragraph" w:customStyle="1" w:styleId="184">
    <w:name w:val="样式 标题 3 + 首行缩进:  2 字符"/>
    <w:basedOn w:val="4"/>
    <w:qFormat/>
    <w:uiPriority w:val="0"/>
    <w:pPr>
      <w:spacing w:before="200" w:after="200"/>
    </w:pPr>
    <w:rPr>
      <w:rFonts w:cs="宋体"/>
      <w:szCs w:val="20"/>
    </w:rPr>
  </w:style>
  <w:style w:type="paragraph" w:customStyle="1" w:styleId="185">
    <w:name w:val="样式 样式 标题 3 + 首行缩进:  2 字符 + 首行缩进:  2 字符"/>
    <w:basedOn w:val="184"/>
    <w:qFormat/>
    <w:uiPriority w:val="0"/>
    <w:pPr>
      <w:spacing w:before="120" w:after="120"/>
    </w:pPr>
  </w:style>
  <w:style w:type="paragraph" w:customStyle="1" w:styleId="186">
    <w:name w:val="Table Paragraph"/>
    <w:basedOn w:val="1"/>
    <w:qFormat/>
    <w:uiPriority w:val="1"/>
    <w:pPr>
      <w:jc w:val="center"/>
    </w:pPr>
    <w:rPr>
      <w:rFonts w:ascii="宋体" w:hAnsi="宋体" w:eastAsia="宋体" w:cs="宋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10</Pages>
  <Words>5786</Words>
  <Characters>5921</Characters>
  <Lines>52</Lines>
  <Paragraphs>14</Paragraphs>
  <TotalTime>28</TotalTime>
  <ScaleCrop>false</ScaleCrop>
  <LinksUpToDate>false</LinksUpToDate>
  <CharactersWithSpaces>5970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2023-02-23T08:54:00Z</dcterms:created>
  <dc:creator>微软用户</dc:creator>
  <cp:lastModifiedBy>韩</cp:lastModifiedBy>
  <cp:lastPrinted>2025-03-20T01:12:00Z</cp:lastPrinted>
  <dcterms:modified xsi:type="dcterms:W3CDTF">2026-04-20T03:17:38Z</dcterms:modified>
  <dc:title>材料科学与工程学院硕士研究生国家奖学金评定办法</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E011303A70A84FC8A967F93B8C9DAA01_13</vt:lpwstr>
  </property>
  <property fmtid="{D5CDD505-2E9C-101B-9397-08002B2CF9AE}" pid="4" name="KSOTemplateDocerSaveRecord">
    <vt:lpwstr>eyJoZGlkIjoiOTJmZmY1ZDA1OWM3N2FjMzBiNjZjOGZhZTMxYjIyM2YiLCJ1c2VySWQiOiI2NzQ4NDc3ODIifQ==</vt:lpwstr>
  </property>
</Properties>
</file>