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7555D">
      <w:pPr>
        <w:spacing w:after="156" w:afterLines="50" w:line="480" w:lineRule="exact"/>
        <w:jc w:val="center"/>
        <w:rPr>
          <w:rFonts w:ascii="宋体" w:hAnsi="宋体" w:eastAsia="黑体"/>
          <w:color w:val="000000"/>
          <w:sz w:val="28"/>
          <w:szCs w:val="28"/>
        </w:rPr>
      </w:pPr>
      <w:r>
        <w:rPr>
          <w:rFonts w:hint="eastAsia" w:ascii="黑体" w:hAnsi="黑体" w:eastAsia="黑体"/>
          <w:color w:val="000000"/>
          <w:sz w:val="28"/>
          <w:szCs w:val="28"/>
        </w:rPr>
        <w:t>武汉理工大学信息工程学院研究生综合素质测评体系（202</w:t>
      </w:r>
      <w:r>
        <w:rPr>
          <w:rFonts w:hint="eastAsia" w:ascii="黑体" w:hAnsi="黑体" w:eastAsia="黑体"/>
          <w:color w:val="000000"/>
          <w:sz w:val="28"/>
          <w:szCs w:val="28"/>
          <w:lang w:val="en-US" w:eastAsia="zh-CN"/>
        </w:rPr>
        <w:t>5</w:t>
      </w:r>
      <w:bookmarkStart w:id="0" w:name="_GoBack"/>
      <w:bookmarkEnd w:id="0"/>
      <w:r>
        <w:rPr>
          <w:rFonts w:hint="eastAsia" w:ascii="黑体" w:hAnsi="黑体" w:eastAsia="黑体"/>
          <w:color w:val="000000"/>
          <w:sz w:val="28"/>
          <w:szCs w:val="28"/>
        </w:rPr>
        <w:t>年修订）</w:t>
      </w:r>
    </w:p>
    <w:tbl>
      <w:tblPr>
        <w:tblStyle w:val="7"/>
        <w:tblW w:w="1040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956"/>
        <w:gridCol w:w="1087"/>
        <w:gridCol w:w="6181"/>
        <w:gridCol w:w="868"/>
        <w:gridCol w:w="1309"/>
      </w:tblGrid>
      <w:tr w14:paraId="2DE23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tblHeader/>
          <w:jc w:val="center"/>
        </w:trPr>
        <w:tc>
          <w:tcPr>
            <w:tcW w:w="956" w:type="dxa"/>
            <w:tcBorders>
              <w:top w:val="single" w:color="auto" w:sz="12" w:space="0"/>
              <w:left w:val="single" w:color="auto" w:sz="12" w:space="0"/>
              <w:bottom w:val="single" w:color="auto" w:sz="4" w:space="0"/>
              <w:right w:val="single" w:color="auto" w:sz="4" w:space="0"/>
              <w:tl2br w:val="nil"/>
              <w:tr2bl w:val="nil"/>
            </w:tcBorders>
            <w:vAlign w:val="center"/>
          </w:tcPr>
          <w:p w14:paraId="5967FF80">
            <w:pPr>
              <w:spacing w:line="300" w:lineRule="exact"/>
              <w:jc w:val="center"/>
              <w:rPr>
                <w:rFonts w:ascii="宋体" w:hAnsi="宋体"/>
                <w:b/>
                <w:sz w:val="18"/>
                <w:szCs w:val="16"/>
              </w:rPr>
            </w:pPr>
            <w:r>
              <w:rPr>
                <w:rFonts w:hint="eastAsia" w:ascii="宋体" w:hAnsi="宋体"/>
                <w:b/>
                <w:sz w:val="18"/>
                <w:szCs w:val="16"/>
              </w:rPr>
              <w:t>一级</w:t>
            </w:r>
          </w:p>
          <w:p w14:paraId="6BCAA6AF">
            <w:pPr>
              <w:spacing w:line="300" w:lineRule="exact"/>
              <w:jc w:val="center"/>
              <w:rPr>
                <w:rFonts w:ascii="宋体" w:hAnsi="宋体"/>
                <w:b/>
                <w:sz w:val="18"/>
                <w:szCs w:val="16"/>
              </w:rPr>
            </w:pPr>
            <w:r>
              <w:rPr>
                <w:rFonts w:hint="eastAsia" w:ascii="宋体" w:hAnsi="宋体"/>
                <w:b/>
                <w:sz w:val="18"/>
                <w:szCs w:val="16"/>
              </w:rPr>
              <w:t>指标</w:t>
            </w:r>
          </w:p>
        </w:tc>
        <w:tc>
          <w:tcPr>
            <w:tcW w:w="1087" w:type="dxa"/>
            <w:tcBorders>
              <w:top w:val="single" w:color="auto" w:sz="12" w:space="0"/>
              <w:left w:val="single" w:color="auto" w:sz="4" w:space="0"/>
              <w:bottom w:val="single" w:color="auto" w:sz="4" w:space="0"/>
              <w:right w:val="single" w:color="auto" w:sz="4" w:space="0"/>
              <w:tl2br w:val="nil"/>
              <w:tr2bl w:val="nil"/>
            </w:tcBorders>
            <w:vAlign w:val="center"/>
          </w:tcPr>
          <w:p w14:paraId="384782C2">
            <w:pPr>
              <w:spacing w:line="300" w:lineRule="exact"/>
              <w:jc w:val="center"/>
              <w:rPr>
                <w:rFonts w:ascii="宋体" w:hAnsi="宋体"/>
                <w:b/>
                <w:sz w:val="18"/>
                <w:szCs w:val="16"/>
              </w:rPr>
            </w:pPr>
            <w:r>
              <w:rPr>
                <w:rFonts w:hint="eastAsia" w:ascii="宋体" w:hAnsi="宋体"/>
                <w:b/>
                <w:sz w:val="18"/>
                <w:szCs w:val="16"/>
              </w:rPr>
              <w:t>二级</w:t>
            </w:r>
          </w:p>
          <w:p w14:paraId="19D617A0">
            <w:pPr>
              <w:spacing w:line="300" w:lineRule="exact"/>
              <w:jc w:val="center"/>
              <w:rPr>
                <w:rFonts w:ascii="宋体" w:hAnsi="宋体"/>
                <w:b/>
                <w:sz w:val="18"/>
                <w:szCs w:val="16"/>
              </w:rPr>
            </w:pPr>
            <w:r>
              <w:rPr>
                <w:rFonts w:hint="eastAsia" w:ascii="宋体" w:hAnsi="宋体"/>
                <w:b/>
                <w:sz w:val="18"/>
                <w:szCs w:val="16"/>
              </w:rPr>
              <w:t>指标</w:t>
            </w:r>
          </w:p>
        </w:tc>
        <w:tc>
          <w:tcPr>
            <w:tcW w:w="6181" w:type="dxa"/>
            <w:tcBorders>
              <w:top w:val="single" w:color="auto" w:sz="12" w:space="0"/>
              <w:left w:val="single" w:color="auto" w:sz="4" w:space="0"/>
              <w:bottom w:val="single" w:color="auto" w:sz="4" w:space="0"/>
              <w:right w:val="single" w:color="auto" w:sz="4" w:space="0"/>
              <w:tl2br w:val="nil"/>
              <w:tr2bl w:val="nil"/>
            </w:tcBorders>
            <w:tcMar>
              <w:left w:w="45" w:type="dxa"/>
              <w:right w:w="45" w:type="dxa"/>
            </w:tcMar>
            <w:vAlign w:val="center"/>
          </w:tcPr>
          <w:p w14:paraId="260C5C23">
            <w:pPr>
              <w:spacing w:line="300" w:lineRule="exact"/>
              <w:jc w:val="center"/>
              <w:rPr>
                <w:rFonts w:ascii="宋体" w:hAnsi="宋体"/>
                <w:b/>
                <w:sz w:val="18"/>
                <w:szCs w:val="16"/>
              </w:rPr>
            </w:pPr>
            <w:r>
              <w:rPr>
                <w:rFonts w:hint="eastAsia" w:ascii="宋体" w:hAnsi="宋体"/>
                <w:b/>
                <w:sz w:val="18"/>
                <w:szCs w:val="16"/>
              </w:rPr>
              <w:t>评 分 标 准</w:t>
            </w:r>
          </w:p>
        </w:tc>
        <w:tc>
          <w:tcPr>
            <w:tcW w:w="868" w:type="dxa"/>
            <w:tcBorders>
              <w:top w:val="single" w:color="auto" w:sz="12" w:space="0"/>
              <w:left w:val="single" w:color="auto" w:sz="4" w:space="0"/>
              <w:bottom w:val="single" w:color="auto" w:sz="4" w:space="0"/>
              <w:right w:val="single" w:color="auto" w:sz="4" w:space="0"/>
              <w:tl2br w:val="nil"/>
              <w:tr2bl w:val="nil"/>
            </w:tcBorders>
            <w:vAlign w:val="center"/>
          </w:tcPr>
          <w:p w14:paraId="3370A1D7">
            <w:pPr>
              <w:spacing w:line="300" w:lineRule="exact"/>
              <w:jc w:val="center"/>
              <w:rPr>
                <w:rFonts w:ascii="宋体" w:hAnsi="宋体"/>
                <w:b/>
                <w:sz w:val="18"/>
                <w:szCs w:val="16"/>
              </w:rPr>
            </w:pPr>
            <w:r>
              <w:rPr>
                <w:rFonts w:hint="eastAsia" w:ascii="宋体" w:hAnsi="宋体"/>
                <w:b/>
                <w:sz w:val="18"/>
                <w:szCs w:val="16"/>
              </w:rPr>
              <w:t>最高</w:t>
            </w:r>
          </w:p>
          <w:p w14:paraId="67A4C5CC">
            <w:pPr>
              <w:spacing w:line="300" w:lineRule="exact"/>
              <w:jc w:val="center"/>
              <w:rPr>
                <w:rFonts w:ascii="宋体" w:hAnsi="宋体"/>
                <w:b/>
                <w:sz w:val="18"/>
                <w:szCs w:val="16"/>
              </w:rPr>
            </w:pPr>
            <w:r>
              <w:rPr>
                <w:rFonts w:hint="eastAsia" w:ascii="宋体" w:hAnsi="宋体"/>
                <w:b/>
                <w:sz w:val="18"/>
                <w:szCs w:val="16"/>
              </w:rPr>
              <w:t>分值</w:t>
            </w:r>
          </w:p>
        </w:tc>
        <w:tc>
          <w:tcPr>
            <w:tcW w:w="1309" w:type="dxa"/>
            <w:tcBorders>
              <w:top w:val="single" w:color="auto" w:sz="12" w:space="0"/>
              <w:left w:val="single" w:color="auto" w:sz="4" w:space="0"/>
              <w:bottom w:val="single" w:color="auto" w:sz="4" w:space="0"/>
              <w:right w:val="single" w:color="auto" w:sz="12" w:space="0"/>
              <w:tl2br w:val="nil"/>
              <w:tr2bl w:val="nil"/>
            </w:tcBorders>
            <w:vAlign w:val="center"/>
          </w:tcPr>
          <w:p w14:paraId="4B976503">
            <w:pPr>
              <w:spacing w:line="300" w:lineRule="exact"/>
              <w:jc w:val="center"/>
              <w:rPr>
                <w:rFonts w:ascii="宋体" w:hAnsi="宋体"/>
                <w:b/>
                <w:sz w:val="18"/>
                <w:szCs w:val="16"/>
              </w:rPr>
            </w:pPr>
            <w:r>
              <w:rPr>
                <w:rFonts w:hint="eastAsia" w:ascii="宋体" w:hAnsi="宋体"/>
                <w:b/>
                <w:sz w:val="18"/>
                <w:szCs w:val="16"/>
              </w:rPr>
              <w:t>参评学业奖学金基本要求</w:t>
            </w:r>
          </w:p>
        </w:tc>
      </w:tr>
      <w:tr w14:paraId="04EA3C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76" w:hRule="atLeast"/>
          <w:jc w:val="center"/>
        </w:trPr>
        <w:tc>
          <w:tcPr>
            <w:tcW w:w="956" w:type="dxa"/>
            <w:vMerge w:val="restart"/>
            <w:tcBorders>
              <w:top w:val="single" w:color="auto" w:sz="4" w:space="0"/>
              <w:left w:val="single" w:color="auto" w:sz="12" w:space="0"/>
              <w:right w:val="single" w:color="auto" w:sz="4" w:space="0"/>
              <w:tl2br w:val="nil"/>
              <w:tr2bl w:val="nil"/>
            </w:tcBorders>
            <w:vAlign w:val="center"/>
          </w:tcPr>
          <w:p w14:paraId="5A53B929">
            <w:pPr>
              <w:spacing w:line="300" w:lineRule="exact"/>
              <w:jc w:val="center"/>
              <w:rPr>
                <w:rFonts w:ascii="宋体" w:hAnsi="宋体" w:eastAsia="宋体" w:cs="Times New Roman"/>
                <w:sz w:val="18"/>
                <w:szCs w:val="16"/>
              </w:rPr>
            </w:pPr>
            <w:r>
              <w:rPr>
                <w:rFonts w:hint="eastAsia" w:ascii="宋体" w:hAnsi="宋体"/>
                <w:sz w:val="18"/>
                <w:szCs w:val="16"/>
              </w:rPr>
              <w:t>德育</w:t>
            </w: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2C6E33A9">
            <w:pPr>
              <w:spacing w:line="300" w:lineRule="exact"/>
              <w:jc w:val="center"/>
              <w:rPr>
                <w:rFonts w:ascii="宋体" w:hAnsi="宋体"/>
                <w:sz w:val="18"/>
                <w:szCs w:val="16"/>
              </w:rPr>
            </w:pPr>
            <w:r>
              <w:rPr>
                <w:rFonts w:hint="eastAsia" w:ascii="宋体" w:hAnsi="宋体"/>
                <w:sz w:val="18"/>
                <w:szCs w:val="16"/>
              </w:rPr>
              <w:t>思想教育</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16D7D886">
            <w:pPr>
              <w:spacing w:line="300" w:lineRule="exact"/>
              <w:rPr>
                <w:rFonts w:ascii="宋体" w:hAnsi="宋体"/>
                <w:sz w:val="18"/>
                <w:szCs w:val="16"/>
              </w:rPr>
            </w:pPr>
            <w:r>
              <w:rPr>
                <w:rFonts w:hint="eastAsia" w:ascii="宋体" w:hAnsi="宋体"/>
                <w:sz w:val="18"/>
                <w:szCs w:val="16"/>
              </w:rPr>
              <w:t>拥护中国共产党领导，不断加强思想政治理论学习，树立中国特色社会主义共同理想；热爱祖国、维护团结统一、爱好和平；遵守公民道德规范，积极培育和践行社会主义核心价值观，记3分。</w:t>
            </w:r>
          </w:p>
          <w:p w14:paraId="15FA9704">
            <w:pPr>
              <w:spacing w:line="300" w:lineRule="exact"/>
              <w:rPr>
                <w:rFonts w:ascii="宋体" w:hAnsi="宋体"/>
                <w:sz w:val="18"/>
                <w:szCs w:val="16"/>
              </w:rPr>
            </w:pPr>
            <w:r>
              <w:rPr>
                <w:rFonts w:hint="eastAsia" w:ascii="宋体" w:hAnsi="宋体"/>
                <w:sz w:val="18"/>
                <w:szCs w:val="16"/>
              </w:rPr>
              <w:t>按要求参加学校组织的各项思想政治教育活动，记2分，无故不参加，一次扣0.2分。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5EFC3F0E">
            <w:pPr>
              <w:spacing w:line="300" w:lineRule="exact"/>
              <w:jc w:val="center"/>
              <w:rPr>
                <w:rFonts w:ascii="宋体" w:hAnsi="宋体" w:eastAsia="宋体"/>
                <w:sz w:val="18"/>
                <w:szCs w:val="16"/>
              </w:rPr>
            </w:pPr>
            <w:r>
              <w:rPr>
                <w:rFonts w:hint="eastAsia" w:ascii="宋体" w:hAnsi="宋体"/>
                <w:sz w:val="18"/>
                <w:szCs w:val="16"/>
              </w:rPr>
              <w:t>5</w:t>
            </w:r>
          </w:p>
        </w:tc>
        <w:tc>
          <w:tcPr>
            <w:tcW w:w="1309" w:type="dxa"/>
            <w:vMerge w:val="restart"/>
            <w:tcBorders>
              <w:top w:val="single" w:color="auto" w:sz="4" w:space="0"/>
              <w:left w:val="single" w:color="auto" w:sz="4" w:space="0"/>
              <w:bottom w:val="single" w:color="auto" w:sz="4" w:space="0"/>
              <w:right w:val="single" w:color="auto" w:sz="12" w:space="0"/>
              <w:tl2br w:val="nil"/>
              <w:tr2bl w:val="nil"/>
            </w:tcBorders>
            <w:vAlign w:val="center"/>
          </w:tcPr>
          <w:p w14:paraId="7AC8D769">
            <w:pPr>
              <w:spacing w:line="300" w:lineRule="exact"/>
              <w:jc w:val="center"/>
              <w:rPr>
                <w:rFonts w:ascii="宋体" w:hAnsi="宋体"/>
                <w:sz w:val="18"/>
                <w:szCs w:val="16"/>
              </w:rPr>
            </w:pPr>
            <w:r>
              <w:rPr>
                <w:rFonts w:hint="eastAsia" w:ascii="宋体" w:hAnsi="宋体"/>
                <w:sz w:val="18"/>
                <w:szCs w:val="16"/>
              </w:rPr>
              <w:t>9分及以上</w:t>
            </w:r>
          </w:p>
        </w:tc>
      </w:tr>
      <w:tr w14:paraId="00F9EB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72" w:hRule="atLeast"/>
          <w:jc w:val="center"/>
        </w:trPr>
        <w:tc>
          <w:tcPr>
            <w:tcW w:w="956" w:type="dxa"/>
            <w:vMerge w:val="continue"/>
            <w:tcBorders>
              <w:left w:val="single" w:color="auto" w:sz="12" w:space="0"/>
              <w:right w:val="single" w:color="auto" w:sz="4" w:space="0"/>
              <w:tl2br w:val="nil"/>
              <w:tr2bl w:val="nil"/>
            </w:tcBorders>
            <w:vAlign w:val="center"/>
          </w:tcPr>
          <w:p w14:paraId="5F473F8A">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050AC93D">
            <w:pPr>
              <w:spacing w:line="300" w:lineRule="exact"/>
              <w:jc w:val="center"/>
              <w:rPr>
                <w:rFonts w:ascii="宋体" w:hAnsi="宋体"/>
                <w:sz w:val="18"/>
                <w:szCs w:val="16"/>
              </w:rPr>
            </w:pPr>
            <w:r>
              <w:rPr>
                <w:rFonts w:hint="eastAsia" w:ascii="宋体" w:hAnsi="宋体"/>
                <w:sz w:val="18"/>
                <w:szCs w:val="16"/>
              </w:rPr>
              <w:t>日常表现</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4DA6FDF6">
            <w:pPr>
              <w:spacing w:line="300" w:lineRule="exact"/>
              <w:rPr>
                <w:rFonts w:ascii="宋体" w:hAnsi="宋体"/>
                <w:sz w:val="18"/>
                <w:szCs w:val="16"/>
              </w:rPr>
            </w:pPr>
            <w:r>
              <w:rPr>
                <w:rFonts w:hint="eastAsia" w:ascii="宋体" w:hAnsi="宋体"/>
                <w:sz w:val="18"/>
                <w:szCs w:val="16"/>
              </w:rPr>
              <w:t>遵纪守法，遵守研究生手册规定，服从管理，按时完成新学期学籍注册报到、严格遵守请销假制度，不按要求完成，一次扣0.2分；</w:t>
            </w:r>
          </w:p>
          <w:p w14:paraId="63753D41">
            <w:pPr>
              <w:spacing w:line="300" w:lineRule="exact"/>
              <w:rPr>
                <w:rFonts w:ascii="宋体" w:hAnsi="宋体"/>
                <w:sz w:val="18"/>
                <w:szCs w:val="16"/>
              </w:rPr>
            </w:pPr>
            <w:r>
              <w:rPr>
                <w:rFonts w:hint="eastAsia" w:ascii="宋体" w:hAnsi="宋体"/>
                <w:sz w:val="18"/>
                <w:szCs w:val="16"/>
              </w:rPr>
              <w:t>按时完成学校学院布置的各项任务，未在规定时间内完成，一次扣0.05分。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214706D2">
            <w:pPr>
              <w:spacing w:line="300" w:lineRule="exact"/>
              <w:jc w:val="center"/>
              <w:rPr>
                <w:rFonts w:ascii="宋体" w:hAnsi="宋体"/>
                <w:sz w:val="18"/>
                <w:szCs w:val="16"/>
              </w:rPr>
            </w:pPr>
            <w:r>
              <w:rPr>
                <w:rFonts w:hint="eastAsia" w:ascii="宋体" w:hAnsi="宋体"/>
                <w:sz w:val="18"/>
                <w:szCs w:val="16"/>
              </w:rPr>
              <w:t>5</w:t>
            </w:r>
          </w:p>
        </w:tc>
        <w:tc>
          <w:tcPr>
            <w:tcW w:w="1309" w:type="dxa"/>
            <w:vMerge w:val="continue"/>
            <w:tcBorders>
              <w:top w:val="single" w:color="auto" w:sz="4" w:space="0"/>
              <w:left w:val="single" w:color="auto" w:sz="4" w:space="0"/>
              <w:bottom w:val="single" w:color="auto" w:sz="4" w:space="0"/>
              <w:right w:val="single" w:color="auto" w:sz="12" w:space="0"/>
              <w:tl2br w:val="nil"/>
              <w:tr2bl w:val="nil"/>
            </w:tcBorders>
            <w:vAlign w:val="center"/>
          </w:tcPr>
          <w:p w14:paraId="5C8D4D95">
            <w:pPr>
              <w:spacing w:line="300" w:lineRule="exact"/>
              <w:jc w:val="center"/>
              <w:rPr>
                <w:rFonts w:ascii="宋体" w:hAnsi="宋体"/>
                <w:sz w:val="18"/>
                <w:szCs w:val="16"/>
              </w:rPr>
            </w:pPr>
          </w:p>
        </w:tc>
      </w:tr>
      <w:tr w14:paraId="135702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904" w:hRule="atLeast"/>
          <w:jc w:val="center"/>
        </w:trPr>
        <w:tc>
          <w:tcPr>
            <w:tcW w:w="956" w:type="dxa"/>
            <w:vMerge w:val="restart"/>
            <w:tcBorders>
              <w:top w:val="single" w:color="auto" w:sz="4" w:space="0"/>
              <w:left w:val="single" w:color="auto" w:sz="12" w:space="0"/>
              <w:right w:val="single" w:color="auto" w:sz="4" w:space="0"/>
              <w:tl2br w:val="nil"/>
              <w:tr2bl w:val="nil"/>
            </w:tcBorders>
            <w:vAlign w:val="center"/>
          </w:tcPr>
          <w:p w14:paraId="43E529EB">
            <w:pPr>
              <w:spacing w:line="300" w:lineRule="exact"/>
              <w:jc w:val="center"/>
              <w:rPr>
                <w:rFonts w:ascii="宋体" w:hAnsi="宋体" w:eastAsia="宋体" w:cs="Times New Roman"/>
                <w:sz w:val="18"/>
                <w:szCs w:val="16"/>
              </w:rPr>
            </w:pPr>
            <w:r>
              <w:rPr>
                <w:rFonts w:hint="eastAsia" w:ascii="宋体" w:hAnsi="宋体"/>
                <w:sz w:val="18"/>
                <w:szCs w:val="16"/>
              </w:rPr>
              <w:t>智育</w:t>
            </w: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4FBFC3DD">
            <w:pPr>
              <w:spacing w:line="300" w:lineRule="exact"/>
              <w:jc w:val="center"/>
              <w:rPr>
                <w:rFonts w:ascii="宋体" w:hAnsi="宋体"/>
                <w:sz w:val="18"/>
                <w:szCs w:val="16"/>
              </w:rPr>
            </w:pPr>
            <w:r>
              <w:rPr>
                <w:rFonts w:hint="eastAsia" w:ascii="宋体" w:hAnsi="宋体"/>
                <w:sz w:val="18"/>
                <w:szCs w:val="16"/>
              </w:rPr>
              <w:t>学习成绩</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2EE16BF0">
            <w:pPr>
              <w:spacing w:line="300" w:lineRule="exact"/>
              <w:rPr>
                <w:rFonts w:ascii="宋体" w:hAnsi="宋体"/>
                <w:sz w:val="18"/>
                <w:szCs w:val="16"/>
              </w:rPr>
            </w:pPr>
            <w:r>
              <w:rPr>
                <w:rFonts w:hint="eastAsia" w:ascii="宋体" w:hAnsi="宋体"/>
                <w:sz w:val="18"/>
                <w:szCs w:val="16"/>
              </w:rPr>
              <w:t>A＝∑（所修所有课程考核成绩×课程学分）/∑课程总学分</w:t>
            </w:r>
          </w:p>
          <w:p w14:paraId="51F1FC30">
            <w:pPr>
              <w:spacing w:line="300" w:lineRule="exact"/>
              <w:rPr>
                <w:rFonts w:ascii="宋体" w:hAnsi="宋体"/>
                <w:sz w:val="18"/>
                <w:szCs w:val="16"/>
              </w:rPr>
            </w:pPr>
            <w:r>
              <w:rPr>
                <w:rFonts w:hint="eastAsia" w:ascii="宋体" w:hAnsi="宋体"/>
                <w:sz w:val="18"/>
                <w:szCs w:val="16"/>
              </w:rPr>
              <w:t>B＝∑（本学年度所修课程考核成绩×课程学分）/∑课程总学分</w:t>
            </w:r>
          </w:p>
          <w:p w14:paraId="7FA55804">
            <w:pPr>
              <w:spacing w:line="300" w:lineRule="exact"/>
              <w:rPr>
                <w:rFonts w:ascii="宋体" w:hAnsi="宋体"/>
                <w:sz w:val="18"/>
                <w:szCs w:val="16"/>
              </w:rPr>
            </w:pPr>
            <w:r>
              <w:rPr>
                <w:rFonts w:hint="eastAsia" w:ascii="宋体" w:hAnsi="宋体"/>
                <w:sz w:val="18"/>
                <w:szCs w:val="16"/>
              </w:rPr>
              <w:t>（在研究生学业奖学金评定中，硕士二年级A×60%，硕士三年级A×30%，博士生A×10%；在硕士研究生国家奖学金评定中，B×50%）</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57DCF9A9">
            <w:pPr>
              <w:spacing w:line="300" w:lineRule="exact"/>
              <w:jc w:val="center"/>
              <w:rPr>
                <w:rFonts w:ascii="宋体" w:hAnsi="宋体"/>
                <w:sz w:val="18"/>
                <w:szCs w:val="16"/>
              </w:rPr>
            </w:pPr>
            <w:r>
              <w:rPr>
                <w:rFonts w:hint="eastAsia" w:ascii="宋体" w:hAnsi="宋体"/>
                <w:sz w:val="18"/>
                <w:szCs w:val="16"/>
              </w:rPr>
              <w:t>无</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2728F7C2">
            <w:pPr>
              <w:spacing w:line="300" w:lineRule="exact"/>
              <w:jc w:val="center"/>
              <w:rPr>
                <w:rFonts w:ascii="宋体" w:hAnsi="宋体" w:eastAsia="宋体"/>
                <w:sz w:val="18"/>
                <w:szCs w:val="16"/>
              </w:rPr>
            </w:pPr>
            <w:r>
              <w:rPr>
                <w:rFonts w:hint="eastAsia" w:ascii="宋体" w:hAnsi="宋体"/>
                <w:sz w:val="18"/>
                <w:szCs w:val="16"/>
              </w:rPr>
              <w:t>参评学年无不及格课程且满足培养计划要求</w:t>
            </w:r>
          </w:p>
        </w:tc>
      </w:tr>
      <w:tr w14:paraId="26618C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78" w:hRule="atLeast"/>
          <w:jc w:val="center"/>
        </w:trPr>
        <w:tc>
          <w:tcPr>
            <w:tcW w:w="956" w:type="dxa"/>
            <w:vMerge w:val="continue"/>
            <w:tcBorders>
              <w:left w:val="single" w:color="auto" w:sz="12" w:space="0"/>
              <w:right w:val="single" w:color="auto" w:sz="4" w:space="0"/>
              <w:tl2br w:val="nil"/>
              <w:tr2bl w:val="nil"/>
            </w:tcBorders>
            <w:vAlign w:val="center"/>
          </w:tcPr>
          <w:p w14:paraId="7D7182F8">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18B19A24">
            <w:pPr>
              <w:spacing w:line="300" w:lineRule="exact"/>
              <w:jc w:val="center"/>
              <w:rPr>
                <w:rFonts w:ascii="宋体" w:hAnsi="宋体"/>
                <w:sz w:val="18"/>
                <w:szCs w:val="16"/>
              </w:rPr>
            </w:pPr>
            <w:r>
              <w:rPr>
                <w:rFonts w:hint="eastAsia" w:ascii="宋体" w:hAnsi="宋体"/>
                <w:sz w:val="18"/>
                <w:szCs w:val="16"/>
              </w:rPr>
              <w:t>论文</w:t>
            </w:r>
          </w:p>
          <w:p w14:paraId="30E1BF7D">
            <w:pPr>
              <w:spacing w:line="300" w:lineRule="exact"/>
              <w:jc w:val="center"/>
              <w:rPr>
                <w:rFonts w:ascii="宋体" w:hAnsi="宋体"/>
                <w:sz w:val="18"/>
                <w:szCs w:val="16"/>
              </w:rPr>
            </w:pPr>
            <w:r>
              <w:rPr>
                <w:rFonts w:hint="eastAsia" w:ascii="宋体" w:hAnsi="宋体"/>
                <w:sz w:val="18"/>
                <w:szCs w:val="16"/>
              </w:rPr>
              <w:t>专利</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3F281DA2">
            <w:pPr>
              <w:spacing w:line="300" w:lineRule="exact"/>
              <w:rPr>
                <w:rFonts w:ascii="宋体" w:hAnsi="宋体"/>
                <w:b/>
                <w:sz w:val="18"/>
                <w:szCs w:val="16"/>
              </w:rPr>
            </w:pPr>
            <w:r>
              <w:rPr>
                <w:rFonts w:hint="eastAsia" w:ascii="宋体" w:hAnsi="宋体"/>
                <w:b/>
                <w:sz w:val="18"/>
                <w:szCs w:val="16"/>
              </w:rPr>
              <w:t>论文：</w:t>
            </w:r>
          </w:p>
          <w:p w14:paraId="37E88A41">
            <w:pPr>
              <w:spacing w:line="300" w:lineRule="exact"/>
              <w:rPr>
                <w:rFonts w:ascii="宋体" w:hAnsi="宋体"/>
                <w:sz w:val="18"/>
                <w:szCs w:val="16"/>
              </w:rPr>
            </w:pPr>
            <w:r>
              <w:rPr>
                <w:rFonts w:hint="eastAsia" w:ascii="宋体" w:hAnsi="宋体"/>
                <w:color w:val="auto"/>
                <w:sz w:val="18"/>
                <w:szCs w:val="16"/>
                <w:highlight w:val="none"/>
              </w:rPr>
              <w:t>Ⅰ类第一档，记36分；</w:t>
            </w:r>
            <w:r>
              <w:rPr>
                <w:rFonts w:hint="eastAsia" w:ascii="宋体" w:hAnsi="宋体"/>
                <w:sz w:val="18"/>
                <w:szCs w:val="16"/>
              </w:rPr>
              <w:t>Ⅰ类第二档，记24分；Ⅱ类第三档，记12分；Ⅲ类第四档，记6分；Ⅲ类第五档，记5分；Ⅳ类第六档，记3分；Ⅳ类第七档，记2分。</w:t>
            </w:r>
          </w:p>
          <w:p w14:paraId="47180D7F">
            <w:pPr>
              <w:spacing w:line="300" w:lineRule="exact"/>
              <w:rPr>
                <w:rFonts w:ascii="宋体" w:hAnsi="宋体"/>
                <w:sz w:val="18"/>
                <w:szCs w:val="16"/>
              </w:rPr>
            </w:pPr>
            <w:r>
              <w:rPr>
                <w:rFonts w:hint="eastAsia" w:ascii="宋体" w:hAnsi="宋体"/>
                <w:sz w:val="18"/>
                <w:szCs w:val="16"/>
              </w:rPr>
              <w:t>被EI、SCI期刊收录，但尚未检索的按80%计算（限毕业班学生）。非核心期刊和增刊不加分；论文级别以发表当年为准；论文详细目录见其他说明。</w:t>
            </w:r>
          </w:p>
          <w:p w14:paraId="0F3D0A04">
            <w:pPr>
              <w:spacing w:line="300" w:lineRule="exact"/>
              <w:rPr>
                <w:rFonts w:ascii="宋体" w:hAnsi="宋体"/>
                <w:b/>
                <w:sz w:val="18"/>
                <w:szCs w:val="16"/>
              </w:rPr>
            </w:pPr>
            <w:r>
              <w:rPr>
                <w:rFonts w:hint="eastAsia" w:ascii="宋体" w:hAnsi="宋体"/>
                <w:b/>
                <w:sz w:val="18"/>
                <w:szCs w:val="16"/>
              </w:rPr>
              <w:t>专利：</w:t>
            </w:r>
          </w:p>
          <w:p w14:paraId="7C90E6DC">
            <w:pPr>
              <w:spacing w:line="300" w:lineRule="exact"/>
              <w:rPr>
                <w:rFonts w:ascii="宋体" w:hAnsi="宋体"/>
                <w:sz w:val="18"/>
                <w:szCs w:val="16"/>
              </w:rPr>
            </w:pPr>
            <w:r>
              <w:rPr>
                <w:rFonts w:hint="eastAsia" w:ascii="宋体" w:hAnsi="宋体"/>
                <w:sz w:val="18"/>
                <w:szCs w:val="16"/>
              </w:rPr>
              <w:t>获得国家发明专利授权，记6分；获得国家发明专利受理，记2分；</w:t>
            </w:r>
          </w:p>
          <w:p w14:paraId="785C8B21">
            <w:pPr>
              <w:spacing w:line="300" w:lineRule="exact"/>
              <w:rPr>
                <w:rFonts w:ascii="宋体" w:hAnsi="宋体"/>
                <w:sz w:val="18"/>
                <w:szCs w:val="16"/>
              </w:rPr>
            </w:pPr>
            <w:r>
              <w:rPr>
                <w:rFonts w:hint="eastAsia" w:ascii="宋体" w:hAnsi="宋体"/>
                <w:sz w:val="18"/>
                <w:szCs w:val="16"/>
              </w:rPr>
              <w:t>获得国家实用新型专利授权，记2分；获得国家实用新型专利受理，记1分。</w:t>
            </w:r>
          </w:p>
          <w:p w14:paraId="6A290C8B">
            <w:pPr>
              <w:spacing w:line="300" w:lineRule="exact"/>
              <w:rPr>
                <w:rFonts w:ascii="宋体" w:hAnsi="宋体"/>
                <w:sz w:val="18"/>
                <w:szCs w:val="16"/>
              </w:rPr>
            </w:pPr>
            <w:r>
              <w:rPr>
                <w:rFonts w:hint="eastAsia" w:ascii="宋体" w:hAnsi="宋体"/>
                <w:sz w:val="18"/>
                <w:szCs w:val="16"/>
              </w:rPr>
              <w:t>专利受理必须达到初步审查通过阶段方可加分，专利受理累计加分不超过2项。</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6FFA4F26">
            <w:pPr>
              <w:spacing w:line="300" w:lineRule="exact"/>
              <w:jc w:val="center"/>
              <w:rPr>
                <w:rFonts w:ascii="宋体" w:hAnsi="宋体"/>
                <w:sz w:val="18"/>
                <w:szCs w:val="16"/>
              </w:rPr>
            </w:pPr>
            <w:r>
              <w:rPr>
                <w:rFonts w:hint="eastAsia" w:ascii="宋体" w:hAnsi="宋体"/>
                <w:sz w:val="18"/>
                <w:szCs w:val="16"/>
              </w:rPr>
              <w:t>无</w:t>
            </w:r>
          </w:p>
        </w:tc>
        <w:tc>
          <w:tcPr>
            <w:tcW w:w="1309" w:type="dxa"/>
            <w:vMerge w:val="restart"/>
            <w:tcBorders>
              <w:top w:val="single" w:color="auto" w:sz="4" w:space="0"/>
              <w:left w:val="single" w:color="auto" w:sz="4" w:space="0"/>
              <w:bottom w:val="single" w:color="auto" w:sz="4" w:space="0"/>
              <w:right w:val="single" w:color="auto" w:sz="12" w:space="0"/>
              <w:tl2br w:val="nil"/>
              <w:tr2bl w:val="nil"/>
            </w:tcBorders>
            <w:vAlign w:val="center"/>
          </w:tcPr>
          <w:p w14:paraId="39408B22">
            <w:pPr>
              <w:spacing w:line="300" w:lineRule="exact"/>
              <w:jc w:val="center"/>
            </w:pPr>
            <w:r>
              <w:rPr>
                <w:rFonts w:hint="eastAsia" w:ascii="宋体" w:hAnsi="宋体"/>
                <w:sz w:val="18"/>
                <w:szCs w:val="16"/>
              </w:rPr>
              <w:t>研究生第一、第二学年参评：0.4分及以上</w:t>
            </w:r>
          </w:p>
          <w:p w14:paraId="5FABAC32">
            <w:pPr>
              <w:spacing w:line="300" w:lineRule="exact"/>
              <w:jc w:val="center"/>
            </w:pPr>
          </w:p>
        </w:tc>
      </w:tr>
      <w:tr w14:paraId="249EB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22" w:hRule="atLeast"/>
          <w:jc w:val="center"/>
        </w:trPr>
        <w:tc>
          <w:tcPr>
            <w:tcW w:w="956" w:type="dxa"/>
            <w:vMerge w:val="continue"/>
            <w:tcBorders>
              <w:left w:val="single" w:color="auto" w:sz="12" w:space="0"/>
              <w:right w:val="single" w:color="auto" w:sz="4" w:space="0"/>
              <w:tl2br w:val="nil"/>
              <w:tr2bl w:val="nil"/>
            </w:tcBorders>
            <w:vAlign w:val="center"/>
          </w:tcPr>
          <w:p w14:paraId="43C688FB">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37BE4CD2">
            <w:pPr>
              <w:spacing w:line="300" w:lineRule="exact"/>
              <w:jc w:val="center"/>
              <w:rPr>
                <w:rFonts w:ascii="宋体" w:hAnsi="宋体"/>
                <w:sz w:val="18"/>
                <w:szCs w:val="16"/>
              </w:rPr>
            </w:pPr>
            <w:r>
              <w:rPr>
                <w:rFonts w:hint="eastAsia" w:ascii="宋体" w:hAnsi="宋体"/>
                <w:sz w:val="18"/>
                <w:szCs w:val="16"/>
              </w:rPr>
              <w:t>学术科技</w:t>
            </w:r>
          </w:p>
          <w:p w14:paraId="4DAFBE7E">
            <w:pPr>
              <w:spacing w:line="300" w:lineRule="exact"/>
              <w:jc w:val="center"/>
              <w:rPr>
                <w:rFonts w:ascii="宋体" w:hAnsi="宋体"/>
                <w:sz w:val="18"/>
                <w:szCs w:val="16"/>
              </w:rPr>
            </w:pPr>
            <w:r>
              <w:rPr>
                <w:rFonts w:hint="eastAsia" w:ascii="宋体" w:hAnsi="宋体"/>
                <w:sz w:val="18"/>
                <w:szCs w:val="16"/>
              </w:rPr>
              <w:t>竞赛</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2855B51A">
            <w:pPr>
              <w:spacing w:line="300" w:lineRule="exact"/>
              <w:rPr>
                <w:rFonts w:ascii="宋体" w:hAnsi="宋体" w:eastAsia="宋体"/>
                <w:sz w:val="18"/>
                <w:szCs w:val="16"/>
              </w:rPr>
            </w:pPr>
            <w:r>
              <w:rPr>
                <w:rFonts w:hint="eastAsia" w:ascii="宋体" w:hAnsi="宋体"/>
                <w:sz w:val="18"/>
                <w:szCs w:val="16"/>
              </w:rPr>
              <w:t>获奖加分明细见其他说明。</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69878857">
            <w:pPr>
              <w:spacing w:line="300" w:lineRule="exact"/>
              <w:jc w:val="center"/>
              <w:rPr>
                <w:rFonts w:ascii="宋体" w:hAnsi="宋体"/>
                <w:sz w:val="18"/>
                <w:szCs w:val="16"/>
              </w:rPr>
            </w:pPr>
            <w:r>
              <w:rPr>
                <w:rFonts w:hint="eastAsia" w:ascii="宋体" w:hAnsi="宋体"/>
                <w:sz w:val="18"/>
                <w:szCs w:val="16"/>
              </w:rPr>
              <w:t>无</w:t>
            </w:r>
          </w:p>
        </w:tc>
        <w:tc>
          <w:tcPr>
            <w:tcW w:w="1309" w:type="dxa"/>
            <w:vMerge w:val="continue"/>
            <w:tcBorders>
              <w:top w:val="single" w:color="auto" w:sz="4" w:space="0"/>
              <w:left w:val="single" w:color="auto" w:sz="4" w:space="0"/>
              <w:bottom w:val="single" w:color="auto" w:sz="4" w:space="0"/>
              <w:right w:val="single" w:color="auto" w:sz="12" w:space="0"/>
              <w:tl2br w:val="nil"/>
              <w:tr2bl w:val="nil"/>
            </w:tcBorders>
            <w:vAlign w:val="center"/>
          </w:tcPr>
          <w:p w14:paraId="072E566F">
            <w:pPr>
              <w:spacing w:line="300" w:lineRule="exact"/>
              <w:jc w:val="center"/>
              <w:rPr>
                <w:rFonts w:ascii="宋体" w:hAnsi="宋体"/>
                <w:sz w:val="18"/>
                <w:szCs w:val="16"/>
              </w:rPr>
            </w:pPr>
          </w:p>
        </w:tc>
      </w:tr>
      <w:tr w14:paraId="20AEEC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45" w:hRule="atLeast"/>
          <w:jc w:val="center"/>
        </w:trPr>
        <w:tc>
          <w:tcPr>
            <w:tcW w:w="956" w:type="dxa"/>
            <w:vMerge w:val="continue"/>
            <w:tcBorders>
              <w:left w:val="single" w:color="auto" w:sz="12" w:space="0"/>
              <w:right w:val="single" w:color="auto" w:sz="4" w:space="0"/>
              <w:tl2br w:val="nil"/>
              <w:tr2bl w:val="nil"/>
            </w:tcBorders>
            <w:vAlign w:val="center"/>
          </w:tcPr>
          <w:p w14:paraId="1C4A3A58">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5CE1F859">
            <w:pPr>
              <w:spacing w:line="300" w:lineRule="exact"/>
              <w:jc w:val="center"/>
              <w:rPr>
                <w:rFonts w:ascii="宋体" w:hAnsi="宋体"/>
                <w:sz w:val="18"/>
                <w:szCs w:val="16"/>
              </w:rPr>
            </w:pPr>
            <w:r>
              <w:rPr>
                <w:rFonts w:hint="eastAsia" w:ascii="宋体" w:hAnsi="宋体"/>
                <w:sz w:val="18"/>
                <w:szCs w:val="16"/>
              </w:rPr>
              <w:t>学术活动</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0D499CA8">
            <w:pPr>
              <w:spacing w:line="300" w:lineRule="exact"/>
              <w:rPr>
                <w:rFonts w:ascii="宋体" w:hAnsi="宋体" w:eastAsia="宋体"/>
                <w:sz w:val="18"/>
                <w:szCs w:val="16"/>
              </w:rPr>
            </w:pPr>
            <w:r>
              <w:rPr>
                <w:rFonts w:hint="eastAsia" w:ascii="宋体" w:hAnsi="宋体"/>
                <w:sz w:val="18"/>
                <w:szCs w:val="16"/>
              </w:rPr>
              <w:t>在有较大影响的、系列性的国际学术会议（线下举办）全英文宣读论文，记0.5分；参加国际性、全国性学术活动，0.2分/人次。（最多累计两次，以加分最高分记）。</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0548533A">
            <w:pPr>
              <w:spacing w:line="300" w:lineRule="exact"/>
              <w:jc w:val="center"/>
              <w:rPr>
                <w:rFonts w:ascii="宋体" w:hAnsi="宋体"/>
                <w:sz w:val="18"/>
                <w:szCs w:val="16"/>
              </w:rPr>
            </w:pPr>
            <w:r>
              <w:rPr>
                <w:rFonts w:hint="eastAsia" w:ascii="宋体" w:hAnsi="宋体"/>
                <w:sz w:val="18"/>
                <w:szCs w:val="16"/>
              </w:rPr>
              <w:t>1</w:t>
            </w:r>
          </w:p>
        </w:tc>
        <w:tc>
          <w:tcPr>
            <w:tcW w:w="1309" w:type="dxa"/>
            <w:vMerge w:val="continue"/>
            <w:tcBorders>
              <w:top w:val="single" w:color="auto" w:sz="4" w:space="0"/>
              <w:left w:val="single" w:color="auto" w:sz="4" w:space="0"/>
              <w:bottom w:val="single" w:color="auto" w:sz="4" w:space="0"/>
              <w:right w:val="single" w:color="auto" w:sz="12" w:space="0"/>
              <w:tl2br w:val="nil"/>
              <w:tr2bl w:val="nil"/>
            </w:tcBorders>
            <w:vAlign w:val="center"/>
          </w:tcPr>
          <w:p w14:paraId="60ED9B6C">
            <w:pPr>
              <w:spacing w:line="300" w:lineRule="exact"/>
              <w:jc w:val="center"/>
              <w:rPr>
                <w:rFonts w:ascii="宋体" w:hAnsi="宋体"/>
                <w:sz w:val="18"/>
                <w:szCs w:val="16"/>
              </w:rPr>
            </w:pPr>
          </w:p>
        </w:tc>
      </w:tr>
      <w:tr w14:paraId="3690F2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956" w:type="dxa"/>
            <w:vMerge w:val="continue"/>
            <w:tcBorders>
              <w:left w:val="single" w:color="auto" w:sz="12" w:space="0"/>
              <w:right w:val="single" w:color="auto" w:sz="4" w:space="0"/>
              <w:tl2br w:val="nil"/>
              <w:tr2bl w:val="nil"/>
            </w:tcBorders>
            <w:vAlign w:val="center"/>
          </w:tcPr>
          <w:p w14:paraId="10909F6A">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5A1177C3">
            <w:pPr>
              <w:spacing w:line="300" w:lineRule="exact"/>
              <w:jc w:val="center"/>
              <w:rPr>
                <w:rFonts w:ascii="宋体" w:hAnsi="宋体"/>
                <w:sz w:val="18"/>
                <w:szCs w:val="16"/>
              </w:rPr>
            </w:pPr>
            <w:r>
              <w:rPr>
                <w:rFonts w:hint="eastAsia" w:ascii="宋体" w:hAnsi="宋体"/>
                <w:sz w:val="18"/>
                <w:szCs w:val="16"/>
              </w:rPr>
              <w:t>学术讲座</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1C5A9B11">
            <w:pPr>
              <w:spacing w:line="300" w:lineRule="exact"/>
              <w:rPr>
                <w:rFonts w:ascii="宋体" w:hAnsi="宋体"/>
                <w:sz w:val="18"/>
                <w:szCs w:val="16"/>
              </w:rPr>
            </w:pPr>
            <w:r>
              <w:rPr>
                <w:rFonts w:hint="eastAsia" w:ascii="宋体" w:hAnsi="宋体"/>
                <w:sz w:val="18"/>
                <w:szCs w:val="16"/>
              </w:rPr>
              <w:t>参加学院组织的学术讲座，每次记0.2分，最多记2分。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25EC6A0E">
            <w:pPr>
              <w:spacing w:line="300" w:lineRule="exact"/>
              <w:jc w:val="center"/>
              <w:rPr>
                <w:rFonts w:ascii="宋体" w:hAnsi="宋体"/>
                <w:sz w:val="18"/>
                <w:szCs w:val="16"/>
              </w:rPr>
            </w:pPr>
            <w:r>
              <w:rPr>
                <w:rFonts w:hint="eastAsia" w:ascii="宋体" w:hAnsi="宋体"/>
                <w:sz w:val="18"/>
                <w:szCs w:val="16"/>
              </w:rPr>
              <w:t>2</w:t>
            </w:r>
          </w:p>
        </w:tc>
        <w:tc>
          <w:tcPr>
            <w:tcW w:w="1309" w:type="dxa"/>
            <w:vMerge w:val="continue"/>
            <w:tcBorders>
              <w:top w:val="single" w:color="auto" w:sz="4" w:space="0"/>
              <w:left w:val="single" w:color="auto" w:sz="4" w:space="0"/>
              <w:bottom w:val="single" w:color="auto" w:sz="4" w:space="0"/>
              <w:right w:val="single" w:color="auto" w:sz="12" w:space="0"/>
              <w:tl2br w:val="nil"/>
              <w:tr2bl w:val="nil"/>
            </w:tcBorders>
            <w:vAlign w:val="center"/>
          </w:tcPr>
          <w:p w14:paraId="1E96F6CE">
            <w:pPr>
              <w:spacing w:line="300" w:lineRule="exact"/>
              <w:jc w:val="center"/>
              <w:rPr>
                <w:rFonts w:ascii="宋体" w:hAnsi="宋体"/>
                <w:sz w:val="18"/>
                <w:szCs w:val="16"/>
              </w:rPr>
            </w:pPr>
          </w:p>
        </w:tc>
      </w:tr>
      <w:tr w14:paraId="6E9CCD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39" w:hRule="atLeast"/>
          <w:jc w:val="center"/>
        </w:trPr>
        <w:tc>
          <w:tcPr>
            <w:tcW w:w="956" w:type="dxa"/>
            <w:vMerge w:val="continue"/>
            <w:tcBorders>
              <w:left w:val="single" w:color="auto" w:sz="12" w:space="0"/>
              <w:bottom w:val="single" w:color="auto" w:sz="4" w:space="0"/>
              <w:right w:val="single" w:color="auto" w:sz="4" w:space="0"/>
              <w:tl2br w:val="nil"/>
              <w:tr2bl w:val="nil"/>
            </w:tcBorders>
            <w:vAlign w:val="center"/>
          </w:tcPr>
          <w:p w14:paraId="03409B33">
            <w:pPr>
              <w:spacing w:line="300" w:lineRule="exact"/>
              <w:jc w:val="center"/>
              <w:rPr>
                <w:rFonts w:ascii="宋体" w:hAnsi="宋体" w:eastAsia="宋体" w:cs="Times New Roman"/>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57A881A9">
            <w:pPr>
              <w:spacing w:line="300" w:lineRule="exact"/>
              <w:jc w:val="center"/>
              <w:rPr>
                <w:rFonts w:ascii="宋体" w:hAnsi="宋体" w:eastAsia="宋体" w:cs="Times New Roman"/>
                <w:sz w:val="18"/>
                <w:szCs w:val="16"/>
              </w:rPr>
            </w:pPr>
            <w:r>
              <w:rPr>
                <w:rFonts w:hint="eastAsia" w:ascii="宋体" w:hAnsi="宋体"/>
                <w:sz w:val="18"/>
                <w:szCs w:val="16"/>
              </w:rPr>
              <w:t>导师评价</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7316F8DD">
            <w:pPr>
              <w:spacing w:line="300" w:lineRule="exact"/>
              <w:rPr>
                <w:rFonts w:ascii="宋体" w:hAnsi="宋体"/>
                <w:sz w:val="18"/>
                <w:szCs w:val="16"/>
              </w:rPr>
            </w:pPr>
            <w:r>
              <w:rPr>
                <w:rFonts w:hint="eastAsia" w:ascii="宋体" w:hAnsi="宋体"/>
                <w:sz w:val="18"/>
                <w:szCs w:val="16"/>
              </w:rPr>
              <w:t>研究生导师依据研究生该学年日常表现给予相应分数，满分5分。</w:t>
            </w:r>
          </w:p>
          <w:p w14:paraId="65C46332">
            <w:pPr>
              <w:spacing w:line="300" w:lineRule="exact"/>
              <w:rPr>
                <w:rFonts w:ascii="宋体" w:hAnsi="宋体" w:eastAsia="宋体" w:cs="Times New Roman"/>
                <w:sz w:val="18"/>
                <w:szCs w:val="16"/>
              </w:rPr>
            </w:pPr>
            <w:r>
              <w:rPr>
                <w:rFonts w:hint="eastAsia" w:ascii="宋体" w:hAnsi="宋体"/>
                <w:sz w:val="18"/>
                <w:szCs w:val="16"/>
              </w:rPr>
              <w:t>导师按照近两年科学研究工作量和学生对科学研究工作量的贡献程度为学生赋予相应的科研加分，满分5分。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145CB330">
            <w:pPr>
              <w:spacing w:line="300" w:lineRule="exact"/>
              <w:jc w:val="center"/>
              <w:rPr>
                <w:rFonts w:ascii="宋体" w:hAnsi="宋体" w:eastAsia="宋体" w:cs="Times New Roman"/>
                <w:sz w:val="18"/>
                <w:szCs w:val="16"/>
              </w:rPr>
            </w:pPr>
            <w:r>
              <w:rPr>
                <w:rFonts w:hint="eastAsia" w:ascii="宋体" w:hAnsi="宋体"/>
                <w:sz w:val="18"/>
                <w:szCs w:val="16"/>
              </w:rPr>
              <w:t>10</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6DC4E6D2">
            <w:pPr>
              <w:spacing w:line="300" w:lineRule="exact"/>
              <w:jc w:val="center"/>
              <w:rPr>
                <w:rFonts w:ascii="宋体" w:hAnsi="宋体" w:eastAsia="宋体" w:cs="Times New Roman"/>
                <w:sz w:val="18"/>
                <w:szCs w:val="16"/>
              </w:rPr>
            </w:pPr>
          </w:p>
        </w:tc>
      </w:tr>
      <w:tr w14:paraId="31ABA2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6" w:hRule="atLeast"/>
          <w:jc w:val="center"/>
        </w:trPr>
        <w:tc>
          <w:tcPr>
            <w:tcW w:w="956" w:type="dxa"/>
            <w:tcBorders>
              <w:top w:val="single" w:color="auto" w:sz="4" w:space="0"/>
              <w:left w:val="single" w:color="auto" w:sz="12" w:space="0"/>
              <w:bottom w:val="single" w:color="auto" w:sz="4" w:space="0"/>
              <w:right w:val="single" w:color="auto" w:sz="4" w:space="0"/>
              <w:tl2br w:val="nil"/>
              <w:tr2bl w:val="nil"/>
            </w:tcBorders>
            <w:vAlign w:val="center"/>
          </w:tcPr>
          <w:p w14:paraId="3B4A323E">
            <w:pPr>
              <w:spacing w:line="300" w:lineRule="exact"/>
              <w:jc w:val="center"/>
              <w:rPr>
                <w:rFonts w:ascii="宋体" w:hAnsi="宋体"/>
                <w:sz w:val="18"/>
                <w:szCs w:val="16"/>
              </w:rPr>
            </w:pPr>
            <w:r>
              <w:rPr>
                <w:rFonts w:hint="eastAsia" w:ascii="宋体" w:hAnsi="宋体"/>
                <w:sz w:val="18"/>
                <w:szCs w:val="16"/>
              </w:rPr>
              <w:t>体育、美育</w:t>
            </w: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265F2EB3">
            <w:pPr>
              <w:spacing w:line="300" w:lineRule="exact"/>
              <w:jc w:val="center"/>
              <w:rPr>
                <w:rFonts w:ascii="宋体" w:hAnsi="宋体"/>
                <w:sz w:val="18"/>
                <w:szCs w:val="16"/>
              </w:rPr>
            </w:pPr>
            <w:r>
              <w:rPr>
                <w:rFonts w:hint="eastAsia" w:ascii="宋体" w:hAnsi="宋体"/>
                <w:sz w:val="18"/>
                <w:szCs w:val="16"/>
              </w:rPr>
              <w:t>文体活动</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4EA7C1BC">
            <w:pPr>
              <w:spacing w:line="300" w:lineRule="exact"/>
              <w:rPr>
                <w:rFonts w:ascii="宋体" w:hAnsi="宋体"/>
                <w:sz w:val="18"/>
                <w:szCs w:val="16"/>
              </w:rPr>
            </w:pPr>
            <w:r>
              <w:rPr>
                <w:rFonts w:hint="eastAsia" w:ascii="宋体" w:hAnsi="宋体"/>
                <w:sz w:val="18"/>
                <w:szCs w:val="16"/>
              </w:rPr>
              <w:t>积极参加各级各类文体竞赛，获奖加分明细见其他说明。</w:t>
            </w:r>
          </w:p>
          <w:p w14:paraId="54EA6E9B">
            <w:pPr>
              <w:spacing w:line="300" w:lineRule="exact"/>
              <w:rPr>
                <w:rFonts w:ascii="宋体" w:hAnsi="宋体"/>
                <w:sz w:val="18"/>
                <w:szCs w:val="16"/>
              </w:rPr>
            </w:pPr>
            <w:r>
              <w:rPr>
                <w:rFonts w:hint="eastAsia" w:ascii="宋体" w:hAnsi="宋体"/>
                <w:sz w:val="18"/>
                <w:szCs w:val="16"/>
              </w:rPr>
              <w:t>积极参加各类文化艺术作品征稿，作品经学院审核推荐至学校，记0.2分；作品被校级及以上媒体录用记0.5分，同一作品取最高分记。若作品为多人合作完成，根据贡献量自行分配加分。</w:t>
            </w:r>
          </w:p>
          <w:p w14:paraId="7BE044A4">
            <w:pPr>
              <w:spacing w:line="300" w:lineRule="exact"/>
            </w:pPr>
            <w:r>
              <w:rPr>
                <w:rFonts w:hint="eastAsia" w:ascii="宋体" w:hAnsi="宋体"/>
                <w:sz w:val="18"/>
                <w:szCs w:val="16"/>
              </w:rPr>
              <w:t>在学校、学院组织的各类文体活动中，参与1次，记0.2分，4次为上限，同一比赛项目的参与分和获奖分不同时加分。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51629B17">
            <w:pPr>
              <w:spacing w:line="300" w:lineRule="exact"/>
              <w:jc w:val="center"/>
              <w:rPr>
                <w:rFonts w:ascii="宋体" w:hAnsi="宋体"/>
                <w:sz w:val="18"/>
                <w:szCs w:val="16"/>
              </w:rPr>
            </w:pPr>
            <w:r>
              <w:rPr>
                <w:rFonts w:hint="eastAsia" w:ascii="宋体" w:hAnsi="宋体"/>
                <w:sz w:val="18"/>
                <w:szCs w:val="16"/>
              </w:rPr>
              <w:t>获奖加分无上限；文体活动参与加分上限4次</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45F10249">
            <w:pPr>
              <w:spacing w:line="300" w:lineRule="exact"/>
              <w:jc w:val="center"/>
            </w:pPr>
            <w:r>
              <w:rPr>
                <w:rFonts w:hint="eastAsia" w:ascii="宋体" w:hAnsi="宋体"/>
                <w:sz w:val="18"/>
                <w:szCs w:val="16"/>
              </w:rPr>
              <w:t>研究生第一、第二学年参评：0.2分及以上</w:t>
            </w:r>
          </w:p>
          <w:p w14:paraId="1FB40B81">
            <w:pPr>
              <w:spacing w:line="300" w:lineRule="exact"/>
              <w:jc w:val="center"/>
            </w:pPr>
          </w:p>
        </w:tc>
      </w:tr>
      <w:tr w14:paraId="7A0AA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6" w:hRule="atLeast"/>
          <w:jc w:val="center"/>
        </w:trPr>
        <w:tc>
          <w:tcPr>
            <w:tcW w:w="956" w:type="dxa"/>
            <w:vMerge w:val="restart"/>
            <w:tcBorders>
              <w:top w:val="single" w:color="auto" w:sz="4" w:space="0"/>
              <w:left w:val="single" w:color="auto" w:sz="12" w:space="0"/>
              <w:bottom w:val="single" w:color="auto" w:sz="4" w:space="0"/>
              <w:right w:val="single" w:color="auto" w:sz="4" w:space="0"/>
              <w:tl2br w:val="nil"/>
              <w:tr2bl w:val="nil"/>
            </w:tcBorders>
            <w:vAlign w:val="center"/>
          </w:tcPr>
          <w:p w14:paraId="09B0ACDA">
            <w:pPr>
              <w:spacing w:line="300" w:lineRule="exact"/>
              <w:jc w:val="center"/>
              <w:rPr>
                <w:rFonts w:ascii="宋体" w:hAnsi="宋体"/>
                <w:sz w:val="18"/>
                <w:szCs w:val="16"/>
              </w:rPr>
            </w:pPr>
            <w:r>
              <w:rPr>
                <w:rFonts w:hint="eastAsia" w:ascii="宋体" w:hAnsi="宋体"/>
                <w:sz w:val="18"/>
                <w:szCs w:val="16"/>
              </w:rPr>
              <w:t>劳育</w:t>
            </w: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3021695D">
            <w:pPr>
              <w:spacing w:line="300" w:lineRule="exact"/>
              <w:jc w:val="center"/>
              <w:rPr>
                <w:rFonts w:ascii="宋体" w:hAnsi="宋体"/>
                <w:sz w:val="18"/>
                <w:szCs w:val="16"/>
              </w:rPr>
            </w:pPr>
            <w:r>
              <w:rPr>
                <w:rFonts w:hint="eastAsia" w:ascii="宋体" w:hAnsi="宋体"/>
                <w:sz w:val="18"/>
                <w:szCs w:val="16"/>
              </w:rPr>
              <w:t>社会工作</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4F9BE69B">
            <w:pPr>
              <w:spacing w:line="300" w:lineRule="exact"/>
              <w:rPr>
                <w:rFonts w:ascii="宋体" w:hAnsi="宋体" w:cs="宋体"/>
                <w:sz w:val="18"/>
                <w:szCs w:val="20"/>
              </w:rPr>
            </w:pPr>
            <w:r>
              <w:rPr>
                <w:rFonts w:hint="eastAsia"/>
                <w:sz w:val="18"/>
                <w:szCs w:val="20"/>
              </w:rPr>
              <w:t>校级研究生组织</w:t>
            </w:r>
            <w:r>
              <w:rPr>
                <w:rFonts w:hint="eastAsia" w:ascii="宋体" w:hAnsi="宋体" w:cs="宋体"/>
                <w:sz w:val="18"/>
                <w:szCs w:val="20"/>
              </w:rPr>
              <w:t>主席团、主任，记5分；</w:t>
            </w:r>
          </w:p>
          <w:p w14:paraId="3459AC16">
            <w:pPr>
              <w:spacing w:line="300" w:lineRule="exact"/>
              <w:rPr>
                <w:rFonts w:ascii="宋体" w:hAnsi="宋体" w:cs="宋体"/>
                <w:sz w:val="18"/>
                <w:szCs w:val="20"/>
              </w:rPr>
            </w:pPr>
            <w:r>
              <w:rPr>
                <w:rFonts w:hint="eastAsia" w:ascii="宋体" w:hAnsi="宋体" w:cs="宋体"/>
                <w:sz w:val="18"/>
                <w:szCs w:val="20"/>
              </w:rPr>
              <w:t>带班兼职辅导员，记5分；</w:t>
            </w:r>
          </w:p>
          <w:p w14:paraId="3478F87B">
            <w:pPr>
              <w:spacing w:line="300" w:lineRule="exact"/>
              <w:rPr>
                <w:rFonts w:ascii="宋体" w:hAnsi="宋体" w:cs="宋体"/>
                <w:sz w:val="18"/>
                <w:szCs w:val="20"/>
              </w:rPr>
            </w:pPr>
            <w:r>
              <w:rPr>
                <w:rFonts w:hint="eastAsia" w:ascii="宋体" w:hAnsi="宋体" w:cs="宋体"/>
                <w:sz w:val="18"/>
                <w:szCs w:val="20"/>
              </w:rPr>
              <w:t>校级研究生组织部门负责人、院级研究生组织主席团或主任、党支部书记、院内党支部负责人</w:t>
            </w:r>
            <w:r>
              <w:rPr>
                <w:rFonts w:hint="eastAsia" w:ascii="宋体" w:hAnsi="宋体" w:cs="宋体"/>
                <w:sz w:val="18"/>
                <w:szCs w:val="20"/>
                <w:lang w:eastAsia="zh-CN"/>
              </w:rPr>
              <w:t>、</w:t>
            </w:r>
            <w:r>
              <w:rPr>
                <w:rFonts w:hint="eastAsia" w:ascii="宋体" w:hAnsi="宋体" w:cs="宋体"/>
                <w:sz w:val="18"/>
                <w:szCs w:val="20"/>
                <w:lang w:val="en-US" w:eastAsia="zh-CN"/>
              </w:rPr>
              <w:t>宿管会主席团</w:t>
            </w:r>
            <w:r>
              <w:rPr>
                <w:rFonts w:hint="eastAsia" w:ascii="宋体" w:hAnsi="宋体" w:cs="宋体"/>
                <w:sz w:val="18"/>
                <w:szCs w:val="20"/>
              </w:rPr>
              <w:t>，记4分；</w:t>
            </w:r>
          </w:p>
          <w:p w14:paraId="2DAF221F">
            <w:pPr>
              <w:spacing w:line="300" w:lineRule="exact"/>
              <w:rPr>
                <w:rFonts w:ascii="宋体" w:hAnsi="宋体" w:cs="宋体"/>
                <w:sz w:val="18"/>
                <w:szCs w:val="20"/>
              </w:rPr>
            </w:pPr>
            <w:r>
              <w:rPr>
                <w:rFonts w:hint="eastAsia" w:ascii="宋体" w:hAnsi="宋体" w:cs="宋体"/>
                <w:sz w:val="18"/>
                <w:szCs w:val="20"/>
              </w:rPr>
              <w:t>校级研究生组织干事、班长、团支书</w:t>
            </w:r>
            <w:r>
              <w:rPr>
                <w:rFonts w:hint="eastAsia" w:ascii="宋体" w:hAnsi="宋体" w:cs="宋体"/>
                <w:sz w:val="18"/>
                <w:szCs w:val="20"/>
                <w:lang w:eastAsia="zh-CN"/>
              </w:rPr>
              <w:t>、</w:t>
            </w:r>
            <w:r>
              <w:rPr>
                <w:rFonts w:hint="eastAsia" w:ascii="宋体" w:hAnsi="宋体" w:cs="宋体"/>
                <w:sz w:val="18"/>
                <w:szCs w:val="20"/>
                <w:lang w:val="en-US" w:eastAsia="zh-CN"/>
              </w:rPr>
              <w:t>宿管会楼长</w:t>
            </w:r>
            <w:r>
              <w:rPr>
                <w:rFonts w:hint="eastAsia" w:ascii="宋体" w:hAnsi="宋体" w:cs="宋体"/>
                <w:sz w:val="18"/>
                <w:szCs w:val="20"/>
              </w:rPr>
              <w:t>，记3分；</w:t>
            </w:r>
          </w:p>
          <w:p w14:paraId="16A6BA94">
            <w:pPr>
              <w:spacing w:line="300" w:lineRule="exact"/>
              <w:rPr>
                <w:rFonts w:ascii="宋体" w:hAnsi="宋体" w:cs="宋体"/>
                <w:sz w:val="18"/>
                <w:szCs w:val="20"/>
              </w:rPr>
            </w:pPr>
            <w:r>
              <w:rPr>
                <w:rFonts w:hint="eastAsia" w:ascii="宋体" w:hAnsi="宋体" w:cs="宋体"/>
                <w:sz w:val="18"/>
                <w:szCs w:val="20"/>
              </w:rPr>
              <w:t>院级研究生组织部门负责人，记2分；</w:t>
            </w:r>
          </w:p>
          <w:p w14:paraId="2D03D30C">
            <w:pPr>
              <w:spacing w:line="300" w:lineRule="exact"/>
              <w:rPr>
                <w:rFonts w:ascii="宋体" w:hAnsi="宋体" w:cs="宋体"/>
                <w:sz w:val="18"/>
                <w:szCs w:val="20"/>
              </w:rPr>
            </w:pPr>
            <w:r>
              <w:rPr>
                <w:rFonts w:hint="eastAsia" w:ascii="宋体" w:hAnsi="宋体" w:cs="宋体"/>
                <w:sz w:val="18"/>
                <w:szCs w:val="20"/>
              </w:rPr>
              <w:t>院级研究生组织干事及学院认定的其他学生干部</w:t>
            </w:r>
            <w:r>
              <w:rPr>
                <w:rFonts w:hint="eastAsia" w:ascii="宋体" w:hAnsi="宋体" w:cs="宋体"/>
                <w:sz w:val="18"/>
                <w:szCs w:val="20"/>
                <w:lang w:eastAsia="zh-CN"/>
              </w:rPr>
              <w:t>、</w:t>
            </w:r>
            <w:r>
              <w:rPr>
                <w:rFonts w:hint="eastAsia" w:ascii="宋体" w:hAnsi="宋体" w:cs="宋体"/>
                <w:sz w:val="18"/>
                <w:szCs w:val="20"/>
                <w:lang w:val="en-US" w:eastAsia="zh-CN"/>
              </w:rPr>
              <w:t>宿管会层长</w:t>
            </w:r>
            <w:r>
              <w:rPr>
                <w:rFonts w:hint="eastAsia" w:ascii="宋体" w:hAnsi="宋体" w:cs="宋体"/>
                <w:sz w:val="18"/>
                <w:szCs w:val="20"/>
              </w:rPr>
              <w:t>，记1.5分；</w:t>
            </w:r>
          </w:p>
          <w:p w14:paraId="05917C49">
            <w:pPr>
              <w:spacing w:line="300" w:lineRule="exact"/>
              <w:rPr>
                <w:rFonts w:ascii="宋体" w:hAnsi="宋体" w:cs="宋体"/>
                <w:sz w:val="18"/>
                <w:szCs w:val="20"/>
              </w:rPr>
            </w:pPr>
            <w:r>
              <w:rPr>
                <w:rFonts w:hint="eastAsia" w:ascii="宋体" w:hAnsi="宋体" w:cs="宋体"/>
                <w:sz w:val="18"/>
                <w:szCs w:val="20"/>
              </w:rPr>
              <w:t>研究生组织包括校院各级研究生会、研究生新媒体中心、研究生科学技术协会、研究生创新实践中心、研究生讲师团，研宿管会成员加分细则参照研工部有关文件。</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7837B030">
            <w:pPr>
              <w:spacing w:line="300" w:lineRule="exact"/>
              <w:jc w:val="center"/>
              <w:rPr>
                <w:rFonts w:ascii="宋体" w:hAnsi="宋体"/>
                <w:sz w:val="18"/>
                <w:szCs w:val="16"/>
              </w:rPr>
            </w:pPr>
            <w:r>
              <w:rPr>
                <w:rFonts w:hint="eastAsia" w:ascii="宋体" w:hAnsi="宋体"/>
                <w:sz w:val="18"/>
                <w:szCs w:val="16"/>
              </w:rPr>
              <w:t>5</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65454390">
            <w:pPr>
              <w:spacing w:line="300" w:lineRule="exact"/>
              <w:jc w:val="center"/>
              <w:rPr>
                <w:rFonts w:ascii="宋体" w:hAnsi="宋体"/>
                <w:sz w:val="18"/>
                <w:szCs w:val="16"/>
              </w:rPr>
            </w:pPr>
            <w:r>
              <w:rPr>
                <w:rFonts w:hint="eastAsia" w:ascii="宋体" w:hAnsi="宋体"/>
                <w:sz w:val="18"/>
                <w:szCs w:val="16"/>
              </w:rPr>
              <w:t>无</w:t>
            </w:r>
          </w:p>
        </w:tc>
      </w:tr>
      <w:tr w14:paraId="04D2D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52" w:hRule="atLeast"/>
          <w:jc w:val="center"/>
        </w:trPr>
        <w:tc>
          <w:tcPr>
            <w:tcW w:w="956" w:type="dxa"/>
            <w:vMerge w:val="continue"/>
            <w:tcBorders>
              <w:top w:val="single" w:color="auto" w:sz="4" w:space="0"/>
              <w:left w:val="single" w:color="auto" w:sz="12" w:space="0"/>
              <w:bottom w:val="single" w:color="auto" w:sz="4" w:space="0"/>
              <w:right w:val="single" w:color="auto" w:sz="4" w:space="0"/>
              <w:tl2br w:val="nil"/>
              <w:tr2bl w:val="nil"/>
            </w:tcBorders>
            <w:vAlign w:val="center"/>
          </w:tcPr>
          <w:p w14:paraId="50EE8130">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32013023">
            <w:pPr>
              <w:spacing w:line="300" w:lineRule="exact"/>
              <w:jc w:val="center"/>
              <w:rPr>
                <w:rFonts w:ascii="宋体" w:hAnsi="宋体"/>
                <w:sz w:val="18"/>
                <w:szCs w:val="16"/>
              </w:rPr>
            </w:pPr>
            <w:r>
              <w:rPr>
                <w:rFonts w:hint="eastAsia" w:ascii="宋体" w:hAnsi="宋体"/>
                <w:sz w:val="18"/>
                <w:szCs w:val="16"/>
              </w:rPr>
              <w:t>社会实践</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756A9CE5">
            <w:pPr>
              <w:spacing w:line="300" w:lineRule="exact"/>
              <w:rPr>
                <w:rFonts w:ascii="宋体" w:hAnsi="宋体"/>
                <w:sz w:val="18"/>
                <w:szCs w:val="16"/>
              </w:rPr>
            </w:pPr>
            <w:r>
              <w:rPr>
                <w:rFonts w:hint="eastAsia" w:ascii="宋体" w:hAnsi="宋体"/>
                <w:sz w:val="18"/>
                <w:szCs w:val="16"/>
              </w:rPr>
              <w:t>参评学年志愿汇志愿服务时长工时达到20个小时，党员志愿服务时长达到30个小时，记3分，</w:t>
            </w:r>
            <w:r>
              <w:rPr>
                <w:rFonts w:hint="eastAsia" w:ascii="宋体" w:hAnsi="宋体"/>
                <w:sz w:val="18"/>
                <w:szCs w:val="16"/>
                <w:lang w:val="en-US" w:eastAsia="zh-CN"/>
              </w:rPr>
              <w:t>按比例得分。</w:t>
            </w:r>
          </w:p>
          <w:p w14:paraId="1B394654">
            <w:pPr>
              <w:spacing w:line="300" w:lineRule="exact"/>
              <w:rPr>
                <w:rFonts w:ascii="宋体" w:hAnsi="宋体"/>
                <w:sz w:val="18"/>
                <w:szCs w:val="16"/>
              </w:rPr>
            </w:pPr>
            <w:r>
              <w:rPr>
                <w:rFonts w:hint="eastAsia" w:ascii="宋体" w:hAnsi="宋体"/>
                <w:sz w:val="18"/>
                <w:szCs w:val="16"/>
              </w:rPr>
              <w:t>参加校团委组织的</w:t>
            </w:r>
            <w:r>
              <w:rPr>
                <w:rFonts w:hint="eastAsia" w:ascii="宋体" w:hAnsi="宋体"/>
                <w:sz w:val="18"/>
                <w:szCs w:val="16"/>
                <w:lang w:val="en-US" w:eastAsia="zh-CN"/>
              </w:rPr>
              <w:t>暑期</w:t>
            </w:r>
            <w:r>
              <w:rPr>
                <w:rFonts w:hint="eastAsia" w:ascii="宋体" w:hAnsi="宋体"/>
                <w:sz w:val="18"/>
                <w:szCs w:val="16"/>
              </w:rPr>
              <w:t>社会实践，按要求完成提交录入，记0.5分。</w:t>
            </w:r>
          </w:p>
          <w:p w14:paraId="5DD01748">
            <w:pPr>
              <w:spacing w:line="300" w:lineRule="exact"/>
              <w:rPr>
                <w:rFonts w:ascii="宋体" w:hAnsi="宋体"/>
                <w:sz w:val="18"/>
                <w:szCs w:val="16"/>
              </w:rPr>
            </w:pPr>
            <w:r>
              <w:rPr>
                <w:rFonts w:hint="eastAsia" w:ascii="宋体" w:hAnsi="宋体"/>
                <w:sz w:val="18"/>
                <w:szCs w:val="16"/>
              </w:rPr>
              <w:t>围绕研究生党建、和谐导学团队建设</w:t>
            </w:r>
            <w:r>
              <w:rPr>
                <w:rFonts w:hint="eastAsia" w:ascii="宋体" w:hAnsi="宋体"/>
                <w:sz w:val="18"/>
                <w:szCs w:val="16"/>
                <w:lang w:val="en-US" w:eastAsia="zh-CN"/>
              </w:rPr>
              <w:t>等方面</w:t>
            </w:r>
            <w:r>
              <w:rPr>
                <w:rFonts w:hint="eastAsia" w:ascii="宋体" w:hAnsi="宋体"/>
                <w:sz w:val="18"/>
                <w:szCs w:val="16"/>
              </w:rPr>
              <w:t>开展各类特色鲜明的实践活动并积极向学院投递新闻稿件，经审核录用发表在</w:t>
            </w:r>
            <w:r>
              <w:rPr>
                <w:rFonts w:hint="eastAsia" w:ascii="宋体" w:hAnsi="宋体"/>
                <w:sz w:val="18"/>
                <w:szCs w:val="16"/>
                <w:lang w:val="en-US" w:eastAsia="zh-CN"/>
              </w:rPr>
              <w:t>研之声公众号</w:t>
            </w:r>
            <w:r>
              <w:rPr>
                <w:rFonts w:hint="eastAsia" w:ascii="宋体" w:hAnsi="宋体"/>
                <w:sz w:val="18"/>
                <w:szCs w:val="16"/>
              </w:rPr>
              <w:t>，负责人/新闻撰稿人（最多共2人）各记0.3分，其他参与人员各记0.1分，每人最多记0.6分，需提供活动集体照和活动记录表。</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732181ED">
            <w:pPr>
              <w:spacing w:line="300" w:lineRule="exact"/>
              <w:jc w:val="center"/>
              <w:rPr>
                <w:rFonts w:hint="default" w:ascii="宋体" w:hAnsi="宋体" w:eastAsiaTheme="minorEastAsia"/>
                <w:color w:val="FF0000"/>
                <w:sz w:val="18"/>
                <w:szCs w:val="16"/>
                <w:lang w:val="en-US" w:eastAsia="zh-CN"/>
              </w:rPr>
            </w:pPr>
            <w:r>
              <w:rPr>
                <w:rFonts w:hint="eastAsia" w:ascii="宋体" w:hAnsi="宋体"/>
                <w:color w:val="auto"/>
                <w:sz w:val="18"/>
                <w:szCs w:val="16"/>
                <w:lang w:val="en-US" w:eastAsia="zh-CN"/>
              </w:rPr>
              <w:t>4.1</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4AF66280">
            <w:pPr>
              <w:spacing w:line="300" w:lineRule="exact"/>
              <w:jc w:val="center"/>
              <w:rPr>
                <w:rFonts w:ascii="宋体" w:hAnsi="宋体"/>
                <w:sz w:val="18"/>
                <w:szCs w:val="16"/>
              </w:rPr>
            </w:pPr>
            <w:r>
              <w:rPr>
                <w:rFonts w:hint="eastAsia" w:ascii="宋体" w:hAnsi="宋体"/>
                <w:sz w:val="18"/>
                <w:szCs w:val="16"/>
              </w:rPr>
              <w:t>研究生第一、第二学年参评：党员</w:t>
            </w:r>
            <w:r>
              <w:rPr>
                <w:rFonts w:hint="eastAsia" w:ascii="宋体" w:hAnsi="宋体"/>
                <w:sz w:val="18"/>
                <w:szCs w:val="16"/>
                <w:lang w:val="en-US" w:eastAsia="zh-CN"/>
              </w:rPr>
              <w:t>1.5</w:t>
            </w:r>
            <w:r>
              <w:rPr>
                <w:rFonts w:hint="eastAsia" w:ascii="宋体" w:hAnsi="宋体"/>
                <w:sz w:val="18"/>
                <w:szCs w:val="16"/>
              </w:rPr>
              <w:t>分及以上，其他学生1分及以上</w:t>
            </w:r>
          </w:p>
          <w:p w14:paraId="287B2F45">
            <w:pPr>
              <w:spacing w:line="300" w:lineRule="exact"/>
              <w:jc w:val="center"/>
              <w:rPr>
                <w:rFonts w:ascii="宋体" w:hAnsi="宋体"/>
                <w:sz w:val="18"/>
                <w:szCs w:val="16"/>
              </w:rPr>
            </w:pPr>
          </w:p>
        </w:tc>
      </w:tr>
      <w:tr w14:paraId="465F0E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71" w:hRule="atLeast"/>
          <w:jc w:val="center"/>
        </w:trPr>
        <w:tc>
          <w:tcPr>
            <w:tcW w:w="956" w:type="dxa"/>
            <w:vMerge w:val="continue"/>
            <w:tcBorders>
              <w:top w:val="single" w:color="auto" w:sz="4" w:space="0"/>
              <w:left w:val="single" w:color="auto" w:sz="12" w:space="0"/>
              <w:bottom w:val="single" w:color="auto" w:sz="4" w:space="0"/>
              <w:right w:val="single" w:color="auto" w:sz="4" w:space="0"/>
              <w:tl2br w:val="nil"/>
              <w:tr2bl w:val="nil"/>
            </w:tcBorders>
            <w:vAlign w:val="center"/>
          </w:tcPr>
          <w:p w14:paraId="1935C166">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700E828F">
            <w:pPr>
              <w:spacing w:line="300" w:lineRule="exact"/>
              <w:jc w:val="center"/>
              <w:rPr>
                <w:rFonts w:ascii="宋体" w:hAnsi="宋体"/>
                <w:sz w:val="18"/>
                <w:szCs w:val="16"/>
              </w:rPr>
            </w:pPr>
            <w:r>
              <w:rPr>
                <w:rFonts w:hint="eastAsia" w:ascii="宋体" w:hAnsi="宋体"/>
                <w:sz w:val="18"/>
                <w:szCs w:val="16"/>
              </w:rPr>
              <w:t>两室文化建设</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7BFDF9B5">
            <w:pPr>
              <w:spacing w:line="300" w:lineRule="exact"/>
              <w:rPr>
                <w:rFonts w:ascii="宋体" w:hAnsi="宋体"/>
                <w:sz w:val="18"/>
                <w:szCs w:val="16"/>
              </w:rPr>
            </w:pPr>
            <w:r>
              <w:rPr>
                <w:rFonts w:hint="eastAsia" w:ascii="宋体" w:hAnsi="宋体"/>
                <w:sz w:val="18"/>
                <w:szCs w:val="16"/>
              </w:rPr>
              <w:t>1、宿舍卫生评比</w:t>
            </w:r>
          </w:p>
          <w:p w14:paraId="58144976">
            <w:pPr>
              <w:spacing w:line="300" w:lineRule="exact"/>
              <w:rPr>
                <w:rFonts w:ascii="宋体" w:hAnsi="宋体"/>
                <w:sz w:val="18"/>
                <w:szCs w:val="16"/>
              </w:rPr>
            </w:pPr>
            <w:r>
              <w:rPr>
                <w:rFonts w:hint="eastAsia" w:ascii="宋体" w:hAnsi="宋体"/>
                <w:sz w:val="18"/>
                <w:szCs w:val="16"/>
              </w:rPr>
              <w:t>积极参加学生社区各项劳动活动，主动营造安全、整洁、文明和谐的研究生宿舍氛围，在研究生宿舍环境卫生评比中，每</w:t>
            </w:r>
            <w:r>
              <w:rPr>
                <w:rFonts w:hint="eastAsia" w:ascii="宋体" w:hAnsi="宋体"/>
                <w:sz w:val="18"/>
                <w:szCs w:val="16"/>
                <w:lang w:val="en-US" w:eastAsia="zh-CN"/>
              </w:rPr>
              <w:t>次</w:t>
            </w:r>
            <w:r>
              <w:rPr>
                <w:rFonts w:hint="eastAsia" w:ascii="宋体" w:hAnsi="宋体"/>
                <w:sz w:val="18"/>
                <w:szCs w:val="16"/>
              </w:rPr>
              <w:t>经学校认定的“院级文明宿舍”，宿舍成员每人每次记0.1分，“校级文明宿舍”每人每次记0.2分；学年末被学校评为“校级</w:t>
            </w:r>
            <w:r>
              <w:rPr>
                <w:rFonts w:hint="eastAsia" w:ascii="宋体" w:hAnsi="宋体"/>
                <w:sz w:val="18"/>
                <w:szCs w:val="16"/>
                <w:lang w:val="en-US" w:eastAsia="zh-CN"/>
              </w:rPr>
              <w:t>标兵</w:t>
            </w:r>
            <w:r>
              <w:rPr>
                <w:rFonts w:hint="eastAsia" w:ascii="宋体" w:hAnsi="宋体"/>
                <w:sz w:val="18"/>
                <w:szCs w:val="16"/>
              </w:rPr>
              <w:t>宿舍”，宿舍每人记</w:t>
            </w:r>
            <w:r>
              <w:rPr>
                <w:rFonts w:ascii="宋体" w:hAnsi="宋体"/>
                <w:sz w:val="18"/>
                <w:szCs w:val="16"/>
              </w:rPr>
              <w:t>1</w:t>
            </w:r>
            <w:r>
              <w:rPr>
                <w:rFonts w:hint="eastAsia" w:ascii="宋体" w:hAnsi="宋体"/>
                <w:sz w:val="18"/>
                <w:szCs w:val="16"/>
              </w:rPr>
              <w:t>分。三个级别加分取最高不累加。</w:t>
            </w:r>
          </w:p>
          <w:p w14:paraId="2B23583C">
            <w:pPr>
              <w:spacing w:line="300" w:lineRule="exact"/>
              <w:rPr>
                <w:rFonts w:ascii="宋体" w:hAnsi="宋体"/>
                <w:sz w:val="18"/>
                <w:szCs w:val="16"/>
              </w:rPr>
            </w:pPr>
            <w:r>
              <w:rPr>
                <w:rFonts w:hint="eastAsia" w:ascii="宋体" w:hAnsi="宋体"/>
                <w:sz w:val="18"/>
                <w:szCs w:val="16"/>
              </w:rPr>
              <w:t>2、实验室（工作室）文化建设活动</w:t>
            </w:r>
          </w:p>
          <w:p w14:paraId="3F387B04">
            <w:pPr>
              <w:spacing w:line="300" w:lineRule="exact"/>
              <w:rPr>
                <w:rFonts w:ascii="宋体" w:hAnsi="宋体" w:eastAsia="宋体"/>
                <w:sz w:val="18"/>
                <w:szCs w:val="16"/>
              </w:rPr>
            </w:pPr>
            <w:r>
              <w:rPr>
                <w:rFonts w:hint="eastAsia" w:ascii="宋体" w:hAnsi="宋体"/>
                <w:sz w:val="18"/>
                <w:szCs w:val="16"/>
              </w:rPr>
              <w:t>参加学校“研究生最美实验室（工作室）评选”“四好”研究生导学示范团队建设等导学活动，主动报名提交申报材料。</w:t>
            </w:r>
          </w:p>
          <w:p w14:paraId="1DE41380">
            <w:pPr>
              <w:spacing w:line="300" w:lineRule="exact"/>
              <w:rPr>
                <w:rFonts w:ascii="宋体" w:hAnsi="宋体"/>
                <w:sz w:val="18"/>
                <w:szCs w:val="16"/>
              </w:rPr>
            </w:pPr>
            <w:r>
              <w:rPr>
                <w:rFonts w:hint="eastAsia" w:ascii="宋体" w:hAnsi="宋体"/>
                <w:sz w:val="18"/>
                <w:szCs w:val="16"/>
              </w:rPr>
              <w:t>经学院初评推选至学校的团队，主要负责学生记0.5分（最多两名，第二名0.3），其他团队成员记0.1分；</w:t>
            </w:r>
          </w:p>
          <w:p w14:paraId="29234178">
            <w:pPr>
              <w:spacing w:line="300" w:lineRule="exact"/>
              <w:rPr>
                <w:rFonts w:ascii="宋体" w:hAnsi="宋体"/>
                <w:sz w:val="18"/>
                <w:szCs w:val="16"/>
              </w:rPr>
            </w:pPr>
            <w:r>
              <w:rPr>
                <w:rFonts w:hint="eastAsia" w:ascii="宋体" w:hAnsi="宋体"/>
                <w:sz w:val="18"/>
                <w:szCs w:val="16"/>
              </w:rPr>
              <w:t>通过学校初评的团队，主要负责学生加0.8（最多两名，第二名0.6），其他团队成员加0.2；</w:t>
            </w:r>
          </w:p>
          <w:p w14:paraId="7FD059D1">
            <w:pPr>
              <w:spacing w:line="300" w:lineRule="exact"/>
              <w:rPr>
                <w:rFonts w:ascii="宋体" w:hAnsi="宋体"/>
                <w:sz w:val="18"/>
                <w:szCs w:val="16"/>
              </w:rPr>
            </w:pPr>
            <w:r>
              <w:rPr>
                <w:rFonts w:hint="eastAsia" w:ascii="宋体" w:hAnsi="宋体"/>
                <w:sz w:val="18"/>
                <w:szCs w:val="16"/>
              </w:rPr>
              <w:t>在学校最终评选中获“最美实验室（工作室）”“四好”优秀导学示范团队等称号，团队主要负责学生记2分（最多两名，第二名1.5），其他团队成员加0.5。</w:t>
            </w:r>
          </w:p>
          <w:p w14:paraId="5B2A5E34">
            <w:pPr>
              <w:spacing w:line="300" w:lineRule="exact"/>
              <w:rPr>
                <w:rFonts w:ascii="宋体" w:hAnsi="宋体"/>
                <w:sz w:val="18"/>
                <w:szCs w:val="16"/>
              </w:rPr>
            </w:pPr>
            <w:r>
              <w:rPr>
                <w:rFonts w:hint="eastAsia" w:ascii="宋体" w:hAnsi="宋体"/>
                <w:sz w:val="18"/>
                <w:szCs w:val="16"/>
              </w:rPr>
              <w:t>3、宿舍、实验室无违章电器和具有重大隐患的物品，不在室内停放电动车或进行电动车电池充电，不在实验室（工作室）留宿等。</w:t>
            </w:r>
          </w:p>
          <w:p w14:paraId="2B3BA181">
            <w:pPr>
              <w:spacing w:line="300" w:lineRule="exact"/>
              <w:rPr>
                <w:rFonts w:ascii="宋体" w:hAnsi="宋体"/>
                <w:sz w:val="18"/>
                <w:szCs w:val="16"/>
              </w:rPr>
            </w:pP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309BFF17">
            <w:pPr>
              <w:spacing w:line="300" w:lineRule="exact"/>
              <w:jc w:val="center"/>
              <w:rPr>
                <w:rFonts w:hint="eastAsia" w:ascii="宋体" w:hAnsi="宋体" w:eastAsiaTheme="minorEastAsia"/>
                <w:sz w:val="18"/>
                <w:szCs w:val="16"/>
                <w:lang w:val="en-US" w:eastAsia="zh-CN"/>
              </w:rPr>
            </w:pPr>
            <w:r>
              <w:rPr>
                <w:rFonts w:hint="eastAsia" w:ascii="宋体" w:hAnsi="宋体"/>
                <w:sz w:val="18"/>
                <w:szCs w:val="16"/>
                <w:lang w:val="en-US" w:eastAsia="zh-CN"/>
              </w:rPr>
              <w:t>3</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713DB6D9">
            <w:pPr>
              <w:spacing w:line="300" w:lineRule="exact"/>
              <w:jc w:val="center"/>
              <w:rPr>
                <w:rFonts w:ascii="宋体" w:hAnsi="宋体"/>
                <w:sz w:val="18"/>
                <w:szCs w:val="16"/>
              </w:rPr>
            </w:pPr>
            <w:r>
              <w:rPr>
                <w:rFonts w:hint="eastAsia" w:ascii="宋体" w:hAnsi="宋体"/>
                <w:sz w:val="18"/>
                <w:szCs w:val="16"/>
              </w:rPr>
              <w:t>无违规记录</w:t>
            </w:r>
          </w:p>
        </w:tc>
      </w:tr>
    </w:tbl>
    <w:p w14:paraId="5D8ADB74">
      <w:pPr>
        <w:spacing w:line="320" w:lineRule="atLeast"/>
        <w:rPr>
          <w:rFonts w:ascii="仿宋_GB2312" w:hAnsi="宋体" w:eastAsia="仿宋_GB2312"/>
          <w:b/>
          <w:color w:val="000000"/>
          <w:sz w:val="28"/>
          <w:szCs w:val="24"/>
        </w:rPr>
      </w:pPr>
      <w:r>
        <w:rPr>
          <w:rFonts w:hint="eastAsia" w:ascii="仿宋_GB2312" w:hAnsi="宋体" w:eastAsia="仿宋_GB2312"/>
          <w:b/>
          <w:color w:val="000000"/>
          <w:sz w:val="28"/>
          <w:szCs w:val="24"/>
        </w:rPr>
        <w:t>其他说明：</w:t>
      </w:r>
    </w:p>
    <w:p w14:paraId="15B5ADAE">
      <w:pPr>
        <w:spacing w:line="320" w:lineRule="atLeast"/>
        <w:ind w:firstLine="400" w:firstLineChars="200"/>
        <w:rPr>
          <w:rFonts w:ascii="方正小标宋简体" w:hAnsi="方正小标宋简体" w:eastAsia="方正小标宋简体" w:cs="方正小标宋简体"/>
          <w:color w:val="FF0000"/>
          <w:sz w:val="20"/>
          <w:szCs w:val="20"/>
        </w:rPr>
      </w:pPr>
      <w:r>
        <w:rPr>
          <w:rFonts w:hint="eastAsia" w:ascii="方正小标宋简体" w:hAnsi="方正小标宋简体" w:eastAsia="方正小标宋简体" w:cs="方正小标宋简体"/>
          <w:color w:val="FF0000"/>
          <w:sz w:val="20"/>
          <w:szCs w:val="20"/>
        </w:rPr>
        <w:t>参评学业奖学金需同时满足研究生手册的基本参评条件和上表各指标对应的基本要求，若有一项指标未达标，无参评奖学金资格。</w:t>
      </w:r>
    </w:p>
    <w:p w14:paraId="717C91D1">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1、德育评分依据各类活动签到表、现实表现情况。</w:t>
      </w:r>
    </w:p>
    <w:p w14:paraId="1DE1FEF0">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2、学习成绩：在参评学年学生重修、补考通过，成绩按实际分数参与考评。</w:t>
      </w:r>
    </w:p>
    <w:p w14:paraId="3153EB10">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3、论文专利：</w:t>
      </w:r>
    </w:p>
    <w:p w14:paraId="5D4BCCA9">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普通学术论文须提供刊物封面、目录以及正文复印件；检索论文须提供武汉理工大学图书馆开具的检索证明复印件（SCI检索注明JCR分区，以发表当年为准，检索时间在前一学年的9月1日至本学年度的8月31日）；专利须提供专利授权（受理）证书复印件（附带有专利权人及发明人排序材料）。</w:t>
      </w:r>
    </w:p>
    <w:p w14:paraId="5883B393">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发表论文要求：研究生本人为第一作者或通讯作者（共一作者只认定第一作者）或指导教师为第一作者，研究生本人为第二作者；若为各类公派联合培养或签有合作培养协议的研究生，若其取得的学术成果主要在合作单位完成的，对研究生本人署名第一，或者合作单位导师署名第一、本人署名第二，成果的第一署名单位是武汉理工大学，或者第一署名单位是合作单位、第二署名单位是武汉理工大学的予以认可；所有学术论文应见刊（含线上见刊）。论文加分明细如下：</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02"/>
        <w:gridCol w:w="5752"/>
        <w:gridCol w:w="1060"/>
      </w:tblGrid>
      <w:tr w14:paraId="3905B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tcBorders>
              <w:top w:val="single" w:color="000000" w:sz="4" w:space="0"/>
              <w:left w:val="single" w:color="000000" w:sz="4" w:space="0"/>
              <w:bottom w:val="single" w:color="000000" w:sz="4" w:space="0"/>
              <w:right w:val="single" w:color="000000" w:sz="4" w:space="0"/>
              <w:tl2br w:val="nil"/>
              <w:tr2bl w:val="nil"/>
            </w:tcBorders>
            <w:vAlign w:val="center"/>
          </w:tcPr>
          <w:p w14:paraId="452C0F3F">
            <w:pPr>
              <w:spacing w:line="400" w:lineRule="exact"/>
              <w:jc w:val="center"/>
              <w:rPr>
                <w:rFonts w:ascii="仿宋_GB2312" w:hAnsi="仿宋_GB2312" w:eastAsia="仿宋_GB2312" w:cs="仿宋_GB2312"/>
                <w:b/>
                <w:szCs w:val="21"/>
              </w:rPr>
            </w:pPr>
            <w:r>
              <w:rPr>
                <w:rFonts w:hint="eastAsia" w:ascii="仿宋_GB2312" w:hAnsi="仿宋_GB2312" w:eastAsia="仿宋_GB2312" w:cs="仿宋_GB2312"/>
                <w:b/>
                <w:szCs w:val="21"/>
              </w:rPr>
              <w:t>学术论文级别</w:t>
            </w:r>
          </w:p>
        </w:tc>
        <w:tc>
          <w:tcPr>
            <w:tcW w:w="5752" w:type="dxa"/>
            <w:tcBorders>
              <w:top w:val="single" w:color="000000" w:sz="4" w:space="0"/>
              <w:left w:val="single" w:color="000000" w:sz="4" w:space="0"/>
              <w:bottom w:val="single" w:color="000000" w:sz="4" w:space="0"/>
              <w:right w:val="single" w:color="000000" w:sz="4" w:space="0"/>
              <w:tl2br w:val="nil"/>
              <w:tr2bl w:val="nil"/>
            </w:tcBorders>
            <w:vAlign w:val="center"/>
          </w:tcPr>
          <w:p w14:paraId="721C99A9">
            <w:pPr>
              <w:spacing w:line="400" w:lineRule="exact"/>
              <w:jc w:val="center"/>
              <w:rPr>
                <w:rFonts w:ascii="仿宋_GB2312" w:hAnsi="仿宋_GB2312" w:eastAsia="仿宋_GB2312" w:cs="仿宋_GB2312"/>
                <w:b/>
                <w:szCs w:val="21"/>
              </w:rPr>
            </w:pPr>
            <w:r>
              <w:rPr>
                <w:rFonts w:hint="eastAsia" w:ascii="仿宋_GB2312" w:hAnsi="仿宋_GB2312" w:eastAsia="仿宋_GB2312" w:cs="仿宋_GB2312"/>
                <w:b/>
                <w:szCs w:val="21"/>
              </w:rPr>
              <w:t>期刊分档</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3D90EB71">
            <w:pPr>
              <w:spacing w:line="400" w:lineRule="exact"/>
              <w:jc w:val="center"/>
              <w:rPr>
                <w:rFonts w:ascii="仿宋_GB2312" w:hAnsi="仿宋_GB2312" w:eastAsia="仿宋_GB2312" w:cs="仿宋_GB2312"/>
                <w:b/>
                <w:szCs w:val="21"/>
              </w:rPr>
            </w:pPr>
            <w:r>
              <w:rPr>
                <w:rFonts w:hint="eastAsia" w:ascii="仿宋_GB2312" w:hAnsi="仿宋_GB2312" w:eastAsia="仿宋_GB2312" w:cs="仿宋_GB2312"/>
                <w:b/>
                <w:szCs w:val="21"/>
              </w:rPr>
              <w:t>综测加分</w:t>
            </w:r>
          </w:p>
        </w:tc>
      </w:tr>
      <w:tr w14:paraId="5ED4A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restart"/>
            <w:tcBorders>
              <w:top w:val="single" w:color="000000" w:sz="4" w:space="0"/>
              <w:left w:val="single" w:color="000000" w:sz="4" w:space="0"/>
              <w:right w:val="single" w:color="000000" w:sz="4" w:space="0"/>
              <w:tl2br w:val="nil"/>
              <w:tr2bl w:val="nil"/>
            </w:tcBorders>
            <w:vAlign w:val="center"/>
          </w:tcPr>
          <w:p w14:paraId="40442AD5">
            <w:pPr>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Ⅰ类</w:t>
            </w:r>
          </w:p>
        </w:tc>
        <w:tc>
          <w:tcPr>
            <w:tcW w:w="5752" w:type="dxa"/>
            <w:tcBorders>
              <w:top w:val="single" w:color="000000" w:sz="4" w:space="0"/>
              <w:left w:val="single" w:color="000000" w:sz="4" w:space="0"/>
              <w:bottom w:val="single" w:color="auto" w:sz="4" w:space="0"/>
              <w:right w:val="single" w:color="000000" w:sz="4" w:space="0"/>
              <w:tl2br w:val="nil"/>
              <w:tr2bl w:val="nil"/>
            </w:tcBorders>
            <w:vAlign w:val="center"/>
          </w:tcPr>
          <w:p w14:paraId="75ED942E">
            <w:pPr>
              <w:adjustRightInd w:val="0"/>
              <w:snapToGrid w:val="0"/>
              <w:spacing w:line="400" w:lineRule="exact"/>
              <w:jc w:val="center"/>
              <w:rPr>
                <w:rFonts w:ascii="仿宋_GB2312" w:hAnsi="仿宋_GB2312" w:eastAsia="仿宋_GB2312" w:cs="仿宋_GB2312"/>
                <w:color w:val="000000"/>
                <w:szCs w:val="18"/>
                <w:highlight w:val="red"/>
              </w:rPr>
            </w:pPr>
            <w:r>
              <w:rPr>
                <w:rFonts w:hint="eastAsia" w:ascii="仿宋_GB2312" w:hAnsi="仿宋_GB2312" w:eastAsia="仿宋_GB2312" w:cs="仿宋_GB2312"/>
                <w:color w:val="000000"/>
                <w:szCs w:val="18"/>
                <w:highlight w:val="none"/>
              </w:rPr>
              <w:t>第一档 中科院一区论文</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559F0D67">
            <w:pPr>
              <w:adjustRightInd w:val="0"/>
              <w:snapToGrid w:val="0"/>
              <w:spacing w:line="400" w:lineRule="exact"/>
              <w:jc w:val="center"/>
              <w:rPr>
                <w:rFonts w:ascii="仿宋_GB2312" w:hAnsi="仿宋_GB2312" w:eastAsia="仿宋_GB2312" w:cs="仿宋_GB2312"/>
                <w:color w:val="000000"/>
                <w:szCs w:val="18"/>
                <w:highlight w:val="red"/>
              </w:rPr>
            </w:pPr>
            <w:r>
              <w:rPr>
                <w:rFonts w:hint="eastAsia" w:ascii="仿宋_GB2312" w:hAnsi="仿宋_GB2312" w:eastAsia="仿宋_GB2312" w:cs="仿宋_GB2312"/>
                <w:color w:val="000000"/>
                <w:szCs w:val="18"/>
                <w:highlight w:val="none"/>
              </w:rPr>
              <w:t>36</w:t>
            </w:r>
          </w:p>
        </w:tc>
      </w:tr>
      <w:tr w14:paraId="6A481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continue"/>
            <w:tcBorders>
              <w:left w:val="single" w:color="000000" w:sz="4" w:space="0"/>
              <w:bottom w:val="single" w:color="000000" w:sz="4" w:space="0"/>
              <w:right w:val="single" w:color="000000" w:sz="4" w:space="0"/>
              <w:tl2br w:val="nil"/>
              <w:tr2bl w:val="nil"/>
            </w:tcBorders>
            <w:vAlign w:val="center"/>
          </w:tcPr>
          <w:p w14:paraId="31DC3875">
            <w:pPr>
              <w:spacing w:line="400" w:lineRule="exact"/>
              <w:jc w:val="center"/>
              <w:rPr>
                <w:rFonts w:ascii="仿宋_GB2312" w:hAnsi="仿宋_GB2312" w:eastAsia="仿宋_GB2312" w:cs="仿宋_GB2312"/>
                <w:szCs w:val="21"/>
              </w:rPr>
            </w:pPr>
          </w:p>
        </w:tc>
        <w:tc>
          <w:tcPr>
            <w:tcW w:w="5752" w:type="dxa"/>
            <w:tcBorders>
              <w:top w:val="single" w:color="000000" w:sz="4" w:space="0"/>
              <w:left w:val="single" w:color="000000" w:sz="4" w:space="0"/>
              <w:bottom w:val="single" w:color="auto" w:sz="4" w:space="0"/>
              <w:right w:val="single" w:color="000000" w:sz="4" w:space="0"/>
              <w:tl2br w:val="nil"/>
              <w:tr2bl w:val="nil"/>
            </w:tcBorders>
            <w:vAlign w:val="center"/>
          </w:tcPr>
          <w:p w14:paraId="2B88A4A3">
            <w:pPr>
              <w:adjustRightInd w:val="0"/>
              <w:snapToGrid w:val="0"/>
              <w:spacing w:line="400" w:lineRule="exact"/>
              <w:jc w:val="center"/>
              <w:rPr>
                <w:rFonts w:ascii="仿宋_GB2312" w:hAnsi="仿宋_GB2312" w:eastAsia="仿宋_GB2312" w:cs="仿宋_GB2312"/>
                <w:color w:val="000000"/>
                <w:szCs w:val="18"/>
              </w:rPr>
            </w:pPr>
            <w:r>
              <w:rPr>
                <w:rFonts w:hint="eastAsia" w:ascii="仿宋_GB2312" w:hAnsi="仿宋_GB2312" w:eastAsia="仿宋_GB2312" w:cs="仿宋_GB2312"/>
                <w:color w:val="000000"/>
                <w:szCs w:val="18"/>
              </w:rPr>
              <w:t>第二档 SCI检索Q1区</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5C136AC9">
            <w:pPr>
              <w:adjustRightInd w:val="0"/>
              <w:snapToGrid w:val="0"/>
              <w:spacing w:line="400" w:lineRule="exact"/>
              <w:jc w:val="center"/>
              <w:rPr>
                <w:rFonts w:ascii="仿宋_GB2312" w:hAnsi="仿宋_GB2312" w:eastAsia="仿宋_GB2312" w:cs="仿宋_GB2312"/>
                <w:color w:val="FF0000"/>
                <w:szCs w:val="18"/>
              </w:rPr>
            </w:pPr>
            <w:r>
              <w:rPr>
                <w:rFonts w:hint="eastAsia" w:ascii="仿宋_GB2312" w:hAnsi="仿宋_GB2312" w:eastAsia="仿宋_GB2312" w:cs="仿宋_GB2312"/>
                <w:color w:val="000000"/>
                <w:szCs w:val="18"/>
              </w:rPr>
              <w:t>24</w:t>
            </w:r>
          </w:p>
        </w:tc>
      </w:tr>
      <w:tr w14:paraId="5D827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tcBorders>
              <w:top w:val="single" w:color="000000" w:sz="4" w:space="0"/>
              <w:left w:val="single" w:color="000000" w:sz="4" w:space="0"/>
              <w:bottom w:val="single" w:color="000000" w:sz="4" w:space="0"/>
              <w:right w:val="single" w:color="000000" w:sz="4" w:space="0"/>
              <w:tl2br w:val="nil"/>
              <w:tr2bl w:val="nil"/>
            </w:tcBorders>
            <w:vAlign w:val="center"/>
          </w:tcPr>
          <w:p w14:paraId="05EB8E8D">
            <w:pPr>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Ⅱ类</w:t>
            </w:r>
          </w:p>
        </w:tc>
        <w:tc>
          <w:tcPr>
            <w:tcW w:w="5752" w:type="dxa"/>
            <w:tcBorders>
              <w:top w:val="single" w:color="auto" w:sz="4" w:space="0"/>
              <w:left w:val="single" w:color="000000" w:sz="4" w:space="0"/>
              <w:bottom w:val="single" w:color="000000" w:sz="4" w:space="0"/>
              <w:right w:val="single" w:color="000000" w:sz="4" w:space="0"/>
              <w:tl2br w:val="nil"/>
              <w:tr2bl w:val="nil"/>
            </w:tcBorders>
            <w:vAlign w:val="center"/>
          </w:tcPr>
          <w:p w14:paraId="0F9F8577">
            <w:pPr>
              <w:adjustRightInd w:val="0"/>
              <w:snapToGrid w:val="0"/>
              <w:spacing w:line="400" w:lineRule="exact"/>
              <w:jc w:val="center"/>
              <w:rPr>
                <w:rFonts w:ascii="仿宋_GB2312" w:hAnsi="仿宋_GB2312" w:eastAsia="仿宋_GB2312" w:cs="仿宋_GB2312"/>
                <w:color w:val="000000"/>
                <w:szCs w:val="18"/>
              </w:rPr>
            </w:pPr>
            <w:r>
              <w:rPr>
                <w:rFonts w:hint="eastAsia" w:ascii="仿宋_GB2312" w:hAnsi="仿宋_GB2312" w:eastAsia="仿宋_GB2312" w:cs="仿宋_GB2312"/>
                <w:color w:val="000000"/>
                <w:szCs w:val="18"/>
              </w:rPr>
              <w:t>第三档 SCI检索Q2区+北大核心前10%+本学科顶会</w:t>
            </w:r>
          </w:p>
        </w:tc>
        <w:tc>
          <w:tcPr>
            <w:tcW w:w="1060" w:type="dxa"/>
            <w:tcBorders>
              <w:top w:val="single" w:color="000000" w:sz="4" w:space="0"/>
              <w:left w:val="single" w:color="000000" w:sz="4" w:space="0"/>
              <w:bottom w:val="single" w:color="auto" w:sz="4" w:space="0"/>
              <w:right w:val="single" w:color="000000" w:sz="4" w:space="0"/>
              <w:tl2br w:val="nil"/>
              <w:tr2bl w:val="nil"/>
            </w:tcBorders>
            <w:vAlign w:val="center"/>
          </w:tcPr>
          <w:p w14:paraId="75BDE313">
            <w:pPr>
              <w:adjustRightInd w:val="0"/>
              <w:snapToGrid w:val="0"/>
              <w:spacing w:line="400" w:lineRule="exact"/>
              <w:jc w:val="center"/>
              <w:rPr>
                <w:rFonts w:ascii="仿宋_GB2312" w:hAnsi="仿宋_GB2312" w:eastAsia="仿宋_GB2312" w:cs="仿宋_GB2312"/>
                <w:color w:val="FF0000"/>
                <w:szCs w:val="18"/>
              </w:rPr>
            </w:pPr>
            <w:r>
              <w:rPr>
                <w:rFonts w:hint="eastAsia" w:ascii="仿宋_GB2312" w:hAnsi="仿宋_GB2312" w:eastAsia="仿宋_GB2312" w:cs="仿宋_GB2312"/>
                <w:color w:val="000000"/>
                <w:szCs w:val="18"/>
              </w:rPr>
              <w:t>12</w:t>
            </w:r>
          </w:p>
        </w:tc>
      </w:tr>
      <w:tr w14:paraId="60AC5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DA18E32">
            <w:pPr>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Ⅲ类</w:t>
            </w:r>
          </w:p>
        </w:tc>
        <w:tc>
          <w:tcPr>
            <w:tcW w:w="5752" w:type="dxa"/>
            <w:tcBorders>
              <w:top w:val="single" w:color="000000" w:sz="4" w:space="0"/>
              <w:left w:val="single" w:color="000000" w:sz="4" w:space="0"/>
              <w:bottom w:val="single" w:color="000000" w:sz="4" w:space="0"/>
              <w:right w:val="single" w:color="000000" w:sz="4" w:space="0"/>
              <w:tl2br w:val="nil"/>
              <w:tr2bl w:val="nil"/>
            </w:tcBorders>
            <w:vAlign w:val="center"/>
          </w:tcPr>
          <w:p w14:paraId="3A79F830">
            <w:pPr>
              <w:adjustRightInd w:val="0"/>
              <w:snapToGrid w:val="0"/>
              <w:spacing w:line="400" w:lineRule="exact"/>
              <w:jc w:val="center"/>
              <w:rPr>
                <w:rFonts w:ascii="仿宋_GB2312" w:hAnsi="仿宋_GB2312" w:eastAsia="仿宋_GB2312" w:cs="仿宋_GB2312"/>
                <w:color w:val="000000"/>
                <w:szCs w:val="18"/>
              </w:rPr>
            </w:pPr>
            <w:r>
              <w:rPr>
                <w:rFonts w:hint="eastAsia" w:ascii="仿宋_GB2312" w:hAnsi="仿宋_GB2312" w:eastAsia="仿宋_GB2312" w:cs="仿宋_GB2312"/>
                <w:color w:val="000000"/>
                <w:szCs w:val="18"/>
              </w:rPr>
              <w:t>第四档 SCI检索Q3区</w:t>
            </w:r>
          </w:p>
        </w:tc>
        <w:tc>
          <w:tcPr>
            <w:tcW w:w="1060" w:type="dxa"/>
            <w:tcBorders>
              <w:top w:val="single" w:color="auto" w:sz="4" w:space="0"/>
              <w:left w:val="single" w:color="000000" w:sz="4" w:space="0"/>
              <w:bottom w:val="single" w:color="000000" w:sz="4" w:space="0"/>
              <w:right w:val="single" w:color="000000" w:sz="4" w:space="0"/>
              <w:tl2br w:val="nil"/>
              <w:tr2bl w:val="nil"/>
            </w:tcBorders>
            <w:vAlign w:val="center"/>
          </w:tcPr>
          <w:p w14:paraId="44E570AE">
            <w:pPr>
              <w:adjustRightInd w:val="0"/>
              <w:snapToGrid w:val="0"/>
              <w:spacing w:line="400" w:lineRule="exact"/>
              <w:jc w:val="center"/>
              <w:rPr>
                <w:rFonts w:ascii="仿宋_GB2312" w:hAnsi="仿宋_GB2312" w:eastAsia="仿宋_GB2312" w:cs="仿宋_GB2312"/>
                <w:color w:val="FF0000"/>
                <w:szCs w:val="18"/>
              </w:rPr>
            </w:pPr>
            <w:r>
              <w:rPr>
                <w:rFonts w:hint="eastAsia" w:ascii="仿宋_GB2312" w:hAnsi="仿宋_GB2312" w:eastAsia="仿宋_GB2312" w:cs="仿宋_GB2312"/>
                <w:color w:val="000000"/>
                <w:szCs w:val="18"/>
              </w:rPr>
              <w:t>6</w:t>
            </w:r>
          </w:p>
        </w:tc>
      </w:tr>
      <w:tr w14:paraId="6CB65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759254A">
            <w:pPr>
              <w:spacing w:line="400" w:lineRule="exact"/>
              <w:jc w:val="center"/>
              <w:rPr>
                <w:rFonts w:ascii="仿宋_GB2312" w:hAnsi="仿宋_GB2312" w:eastAsia="仿宋_GB2312" w:cs="仿宋_GB2312"/>
                <w:szCs w:val="21"/>
              </w:rPr>
            </w:pPr>
          </w:p>
        </w:tc>
        <w:tc>
          <w:tcPr>
            <w:tcW w:w="5752" w:type="dxa"/>
            <w:tcBorders>
              <w:top w:val="single" w:color="000000" w:sz="4" w:space="0"/>
              <w:left w:val="single" w:color="000000" w:sz="4" w:space="0"/>
              <w:bottom w:val="single" w:color="auto" w:sz="4" w:space="0"/>
              <w:right w:val="single" w:color="000000" w:sz="4" w:space="0"/>
              <w:tl2br w:val="nil"/>
              <w:tr2bl w:val="nil"/>
            </w:tcBorders>
            <w:vAlign w:val="center"/>
          </w:tcPr>
          <w:p w14:paraId="79CE94B3">
            <w:pPr>
              <w:spacing w:line="400" w:lineRule="exact"/>
              <w:jc w:val="center"/>
              <w:rPr>
                <w:rFonts w:ascii="仿宋_GB2312" w:hAnsi="仿宋_GB2312" w:eastAsia="仿宋_GB2312" w:cs="仿宋_GB2312"/>
                <w:color w:val="000000"/>
                <w:szCs w:val="18"/>
              </w:rPr>
            </w:pPr>
            <w:r>
              <w:rPr>
                <w:rFonts w:hint="eastAsia" w:ascii="仿宋_GB2312" w:hAnsi="仿宋_GB2312" w:eastAsia="仿宋_GB2312" w:cs="仿宋_GB2312"/>
                <w:color w:val="000000"/>
                <w:szCs w:val="18"/>
              </w:rPr>
              <w:t>第五档 SCI检索Q4区+EI检索期刊+</w:t>
            </w:r>
            <w:r>
              <w:rPr>
                <w:rFonts w:hint="eastAsia" w:ascii="仿宋_GB2312" w:hAnsi="仿宋_GB2312" w:eastAsia="仿宋_GB2312" w:cs="仿宋_GB2312"/>
                <w:color w:val="000000"/>
              </w:rPr>
              <w:t>北大核心前20%</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1ACC8777">
            <w:pPr>
              <w:adjustRightInd w:val="0"/>
              <w:snapToGrid w:val="0"/>
              <w:spacing w:line="400" w:lineRule="exact"/>
              <w:jc w:val="center"/>
              <w:rPr>
                <w:rFonts w:ascii="仿宋_GB2312" w:hAnsi="仿宋_GB2312" w:eastAsia="仿宋_GB2312" w:cs="仿宋_GB2312"/>
                <w:color w:val="FF0000"/>
                <w:szCs w:val="18"/>
              </w:rPr>
            </w:pPr>
            <w:r>
              <w:rPr>
                <w:rFonts w:hint="eastAsia" w:ascii="仿宋_GB2312" w:hAnsi="仿宋_GB2312" w:eastAsia="仿宋_GB2312" w:cs="仿宋_GB2312"/>
                <w:color w:val="000000"/>
                <w:szCs w:val="18"/>
              </w:rPr>
              <w:t>5</w:t>
            </w:r>
          </w:p>
        </w:tc>
      </w:tr>
      <w:tr w14:paraId="38BBE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BEF5FD7">
            <w:pPr>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Ⅳ类</w:t>
            </w:r>
          </w:p>
        </w:tc>
        <w:tc>
          <w:tcPr>
            <w:tcW w:w="5752" w:type="dxa"/>
            <w:tcBorders>
              <w:top w:val="single" w:color="auto" w:sz="4" w:space="0"/>
              <w:left w:val="single" w:color="000000" w:sz="4" w:space="0"/>
              <w:bottom w:val="single" w:color="000000" w:sz="4" w:space="0"/>
              <w:right w:val="single" w:color="000000" w:sz="4" w:space="0"/>
              <w:tl2br w:val="nil"/>
              <w:tr2bl w:val="nil"/>
            </w:tcBorders>
            <w:vAlign w:val="center"/>
          </w:tcPr>
          <w:p w14:paraId="158F6F4A">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color w:val="000000"/>
                <w:szCs w:val="18"/>
              </w:rPr>
              <w:t>第六档 EI会议+北大核心期刊前30%</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07A96CC4">
            <w:pPr>
              <w:spacing w:line="400" w:lineRule="exact"/>
              <w:jc w:val="center"/>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24"/>
                <w:szCs w:val="18"/>
              </w:rPr>
              <w:t>3</w:t>
            </w:r>
          </w:p>
        </w:tc>
      </w:tr>
      <w:tr w14:paraId="3E541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934FEA6">
            <w:pPr>
              <w:spacing w:line="400" w:lineRule="exact"/>
              <w:jc w:val="center"/>
              <w:rPr>
                <w:rFonts w:ascii="仿宋_GB2312" w:hAnsi="仿宋_GB2312" w:eastAsia="仿宋_GB2312" w:cs="仿宋_GB2312"/>
                <w:szCs w:val="21"/>
              </w:rPr>
            </w:pPr>
          </w:p>
        </w:tc>
        <w:tc>
          <w:tcPr>
            <w:tcW w:w="5752" w:type="dxa"/>
            <w:tcBorders>
              <w:top w:val="single" w:color="000000" w:sz="4" w:space="0"/>
              <w:left w:val="single" w:color="000000" w:sz="4" w:space="0"/>
              <w:bottom w:val="single" w:color="000000" w:sz="4" w:space="0"/>
              <w:right w:val="single" w:color="000000" w:sz="4" w:space="0"/>
              <w:tl2br w:val="nil"/>
              <w:tr2bl w:val="nil"/>
            </w:tcBorders>
            <w:vAlign w:val="center"/>
          </w:tcPr>
          <w:p w14:paraId="0214F4F0">
            <w:pPr>
              <w:spacing w:line="400" w:lineRule="exact"/>
              <w:jc w:val="center"/>
              <w:rPr>
                <w:rFonts w:ascii="仿宋_GB2312" w:hAnsi="仿宋_GB2312" w:eastAsia="仿宋_GB2312" w:cs="仿宋_GB2312"/>
                <w:sz w:val="32"/>
                <w:szCs w:val="32"/>
              </w:rPr>
            </w:pPr>
            <w:r>
              <w:rPr>
                <w:rFonts w:hint="eastAsia" w:ascii="仿宋_GB2312" w:hAnsi="仿宋_GB2312" w:eastAsia="仿宋_GB2312" w:cs="仿宋_GB2312"/>
                <w:color w:val="000000"/>
                <w:szCs w:val="18"/>
              </w:rPr>
              <w:t>第七档 北大核心前50%</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2596B9E6">
            <w:pPr>
              <w:spacing w:line="400" w:lineRule="exact"/>
              <w:jc w:val="center"/>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24"/>
                <w:szCs w:val="18"/>
              </w:rPr>
              <w:t>2</w:t>
            </w:r>
          </w:p>
        </w:tc>
      </w:tr>
    </w:tbl>
    <w:p w14:paraId="42EB5D7B">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（3）</w:t>
      </w:r>
      <w:r>
        <w:rPr>
          <w:rFonts w:hint="eastAsia" w:ascii="仿宋_GB2312" w:hAnsi="仿宋_GB2312" w:eastAsia="仿宋_GB2312" w:cs="仿宋_GB2312"/>
          <w:color w:val="000000"/>
          <w:szCs w:val="21"/>
        </w:rPr>
        <w:t>专利要求：专利授权须研究生为第一发明人，或去除导师后研究生排名前两位。专利权人为武汉理工大学。</w:t>
      </w:r>
      <w:r>
        <w:rPr>
          <w:rFonts w:hint="eastAsia" w:ascii="仿宋_GB2312" w:hAnsi="仿宋_GB2312" w:eastAsia="仿宋_GB2312" w:cs="仿宋_GB2312"/>
          <w:szCs w:val="21"/>
        </w:rPr>
        <w:t>专利受理加分后，下一学年可进行授权加分（减去已加分值）；专利去除导师排名后，排名第二的发明人可按照50%加分，排名第三及以后不加分（导师以系统为准）。</w:t>
      </w:r>
    </w:p>
    <w:p w14:paraId="5140B397">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szCs w:val="21"/>
        </w:rPr>
        <w:t>4、</w:t>
      </w:r>
      <w:r>
        <w:rPr>
          <w:rFonts w:hint="eastAsia" w:ascii="仿宋_GB2312" w:hAnsi="仿宋_GB2312" w:eastAsia="仿宋_GB2312" w:cs="仿宋_GB2312"/>
          <w:color w:val="000000"/>
          <w:szCs w:val="21"/>
        </w:rPr>
        <w:t>学术科技竞赛：须提供获奖证书复印件。不同项目竞赛获奖可累积加分，同项目、不同级别只计一项最高分；成功参加校级及以上科技竞赛活动，如无任何获奖项，队员记参与分0.2分</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szCs w:val="21"/>
        </w:rPr>
        <w:t>4次为上限</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需提供成功参赛证明以及参赛作品主要内容</w:t>
      </w:r>
      <w:r>
        <w:rPr>
          <w:rFonts w:hint="eastAsia" w:ascii="仿宋_GB2312" w:hAnsi="仿宋_GB2312" w:eastAsia="仿宋_GB2312" w:cs="仿宋_GB2312"/>
          <w:szCs w:val="21"/>
        </w:rPr>
        <w:t>。</w:t>
      </w:r>
      <w:r>
        <w:rPr>
          <w:rFonts w:hint="eastAsia" w:ascii="仿宋_GB2312" w:hAnsi="仿宋_GB2312" w:eastAsia="仿宋_GB2312" w:cs="仿宋_GB2312"/>
          <w:color w:val="000000"/>
          <w:szCs w:val="21"/>
        </w:rPr>
        <w:t>竞赛项目以研工部认定范围内的为准，其余竞赛由学院研究认定。团体项目加分折算见下表：</w:t>
      </w:r>
    </w:p>
    <w:tbl>
      <w:tblPr>
        <w:tblStyle w:val="7"/>
        <w:tblW w:w="7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1252"/>
        <w:gridCol w:w="680"/>
        <w:gridCol w:w="680"/>
        <w:gridCol w:w="681"/>
        <w:gridCol w:w="680"/>
        <w:gridCol w:w="681"/>
        <w:gridCol w:w="680"/>
        <w:gridCol w:w="680"/>
      </w:tblGrid>
      <w:tr w14:paraId="5F1C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73C38C18">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等级</w:t>
            </w:r>
          </w:p>
        </w:tc>
        <w:tc>
          <w:tcPr>
            <w:tcW w:w="1252" w:type="dxa"/>
            <w:vMerge w:val="restart"/>
            <w:tcBorders>
              <w:top w:val="single" w:color="auto" w:sz="4" w:space="0"/>
              <w:left w:val="single" w:color="auto" w:sz="4" w:space="0"/>
              <w:bottom w:val="single" w:color="auto" w:sz="4" w:space="0"/>
              <w:right w:val="single" w:color="auto" w:sz="4" w:space="0"/>
              <w:tl2br w:val="nil"/>
              <w:tr2bl w:val="nil"/>
            </w:tcBorders>
          </w:tcPr>
          <w:p w14:paraId="54D5E8D8">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获奖</w:t>
            </w:r>
          </w:p>
          <w:p w14:paraId="41597393">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等级</w:t>
            </w:r>
          </w:p>
        </w:tc>
        <w:tc>
          <w:tcPr>
            <w:tcW w:w="4762" w:type="dxa"/>
            <w:gridSpan w:val="7"/>
            <w:tcBorders>
              <w:top w:val="single" w:color="auto" w:sz="4" w:space="0"/>
              <w:left w:val="single" w:color="auto" w:sz="4" w:space="0"/>
              <w:bottom w:val="single" w:color="auto" w:sz="4" w:space="0"/>
              <w:right w:val="single" w:color="auto" w:sz="4" w:space="0"/>
              <w:tl2br w:val="nil"/>
              <w:tr2bl w:val="nil"/>
            </w:tcBorders>
          </w:tcPr>
          <w:p w14:paraId="7F7EA0B8">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各署名排序加分</w:t>
            </w:r>
          </w:p>
        </w:tc>
      </w:tr>
      <w:tr w14:paraId="0B99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6AE52E8E">
            <w:pPr>
              <w:spacing w:line="320" w:lineRule="atLeast"/>
              <w:jc w:val="center"/>
              <w:rPr>
                <w:rFonts w:ascii="仿宋_GB2312" w:hAnsi="仿宋_GB2312" w:eastAsia="仿宋_GB2312" w:cs="仿宋_GB2312"/>
                <w:b/>
                <w:bCs/>
                <w:color w:val="000000"/>
                <w:szCs w:val="21"/>
              </w:rPr>
            </w:pPr>
          </w:p>
        </w:tc>
        <w:tc>
          <w:tcPr>
            <w:tcW w:w="1252" w:type="dxa"/>
            <w:vMerge w:val="continue"/>
            <w:tcBorders>
              <w:top w:val="single" w:color="auto" w:sz="4" w:space="0"/>
              <w:left w:val="single" w:color="auto" w:sz="4" w:space="0"/>
              <w:bottom w:val="single" w:color="auto" w:sz="4" w:space="0"/>
              <w:right w:val="single" w:color="auto" w:sz="4" w:space="0"/>
              <w:tl2br w:val="nil"/>
              <w:tr2bl w:val="nil"/>
            </w:tcBorders>
          </w:tcPr>
          <w:p w14:paraId="7320F941">
            <w:pPr>
              <w:spacing w:line="320" w:lineRule="atLeast"/>
              <w:jc w:val="center"/>
              <w:rPr>
                <w:rFonts w:ascii="仿宋_GB2312" w:hAnsi="仿宋_GB2312" w:eastAsia="仿宋_GB2312" w:cs="仿宋_GB2312"/>
                <w:b/>
                <w:bCs/>
                <w:color w:val="000000"/>
                <w:szCs w:val="21"/>
              </w:rPr>
            </w:pPr>
          </w:p>
        </w:tc>
        <w:tc>
          <w:tcPr>
            <w:tcW w:w="680" w:type="dxa"/>
            <w:tcBorders>
              <w:top w:val="single" w:color="auto" w:sz="4" w:space="0"/>
              <w:left w:val="single" w:color="auto" w:sz="4" w:space="0"/>
              <w:bottom w:val="single" w:color="auto" w:sz="4" w:space="0"/>
              <w:right w:val="single" w:color="auto" w:sz="4" w:space="0"/>
              <w:tl2br w:val="nil"/>
              <w:tr2bl w:val="nil"/>
            </w:tcBorders>
          </w:tcPr>
          <w:p w14:paraId="5CAE1D0E">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371C86F">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2</w:t>
            </w:r>
          </w:p>
        </w:tc>
        <w:tc>
          <w:tcPr>
            <w:tcW w:w="681" w:type="dxa"/>
            <w:tcBorders>
              <w:top w:val="single" w:color="auto" w:sz="4" w:space="0"/>
              <w:left w:val="single" w:color="auto" w:sz="4" w:space="0"/>
              <w:bottom w:val="single" w:color="auto" w:sz="4" w:space="0"/>
              <w:right w:val="single" w:color="auto" w:sz="4" w:space="0"/>
              <w:tl2br w:val="nil"/>
              <w:tr2bl w:val="nil"/>
            </w:tcBorders>
          </w:tcPr>
          <w:p w14:paraId="28DD29ED">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3</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353C899">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4</w:t>
            </w:r>
          </w:p>
        </w:tc>
        <w:tc>
          <w:tcPr>
            <w:tcW w:w="681" w:type="dxa"/>
            <w:tcBorders>
              <w:top w:val="single" w:color="auto" w:sz="4" w:space="0"/>
              <w:left w:val="single" w:color="auto" w:sz="4" w:space="0"/>
              <w:bottom w:val="single" w:color="auto" w:sz="4" w:space="0"/>
              <w:right w:val="single" w:color="auto" w:sz="4" w:space="0"/>
              <w:tl2br w:val="nil"/>
              <w:tr2bl w:val="nil"/>
            </w:tcBorders>
          </w:tcPr>
          <w:p w14:paraId="32A6EBAE">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D1C9DF6">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6</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D80F50F">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7</w:t>
            </w:r>
          </w:p>
        </w:tc>
      </w:tr>
      <w:tr w14:paraId="3681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68EDE72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国家级</w:t>
            </w:r>
          </w:p>
        </w:tc>
        <w:tc>
          <w:tcPr>
            <w:tcW w:w="1252" w:type="dxa"/>
            <w:tcBorders>
              <w:top w:val="single" w:color="auto" w:sz="4" w:space="0"/>
              <w:left w:val="single" w:color="auto" w:sz="4" w:space="0"/>
              <w:bottom w:val="single" w:color="auto" w:sz="4" w:space="0"/>
              <w:right w:val="single" w:color="auto" w:sz="4" w:space="0"/>
              <w:tl2br w:val="nil"/>
              <w:tr2bl w:val="nil"/>
            </w:tcBorders>
          </w:tcPr>
          <w:p w14:paraId="29AB6C7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特等奖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D6B37A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20</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6BB72E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16</w:t>
            </w:r>
          </w:p>
        </w:tc>
        <w:tc>
          <w:tcPr>
            <w:tcW w:w="681" w:type="dxa"/>
            <w:tcBorders>
              <w:top w:val="single" w:color="auto" w:sz="4" w:space="0"/>
              <w:left w:val="single" w:color="auto" w:sz="4" w:space="0"/>
              <w:bottom w:val="single" w:color="auto" w:sz="4" w:space="0"/>
              <w:right w:val="single" w:color="auto" w:sz="4" w:space="0"/>
              <w:tl2br w:val="nil"/>
              <w:tr2bl w:val="nil"/>
            </w:tcBorders>
          </w:tcPr>
          <w:p w14:paraId="3143F2D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57FCE8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2D7F54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2246A4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29600B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54DB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92B572F">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5E88871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一等奖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722D0C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16</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4B1C56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14</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A5611E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F36F7D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65312C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84D6D5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9DF834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5339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8CB4B8B">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2EB144A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二等奖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0F79B91">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7F90A3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10</w:t>
            </w:r>
          </w:p>
        </w:tc>
        <w:tc>
          <w:tcPr>
            <w:tcW w:w="681" w:type="dxa"/>
            <w:tcBorders>
              <w:top w:val="single" w:color="auto" w:sz="4" w:space="0"/>
              <w:left w:val="single" w:color="auto" w:sz="4" w:space="0"/>
              <w:bottom w:val="single" w:color="auto" w:sz="4" w:space="0"/>
              <w:right w:val="single" w:color="auto" w:sz="4" w:space="0"/>
              <w:tl2br w:val="nil"/>
              <w:tr2bl w:val="nil"/>
            </w:tcBorders>
          </w:tcPr>
          <w:p w14:paraId="7353C71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EF1CB8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BA480D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2039EA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49EE60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7C1F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F18C100">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6F50AA6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三等奖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C3D87A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9</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20AF73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7</w:t>
            </w:r>
          </w:p>
        </w:tc>
        <w:tc>
          <w:tcPr>
            <w:tcW w:w="681" w:type="dxa"/>
            <w:tcBorders>
              <w:top w:val="single" w:color="auto" w:sz="4" w:space="0"/>
              <w:left w:val="single" w:color="auto" w:sz="4" w:space="0"/>
              <w:bottom w:val="single" w:color="auto" w:sz="4" w:space="0"/>
              <w:right w:val="single" w:color="auto" w:sz="4" w:space="0"/>
              <w:tl2br w:val="nil"/>
              <w:tr2bl w:val="nil"/>
            </w:tcBorders>
          </w:tcPr>
          <w:p w14:paraId="6A96675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98ABE5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7D7B7C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9E2346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D45504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45C6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196F866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省部级</w:t>
            </w:r>
          </w:p>
        </w:tc>
        <w:tc>
          <w:tcPr>
            <w:tcW w:w="1252" w:type="dxa"/>
            <w:tcBorders>
              <w:top w:val="single" w:color="auto" w:sz="4" w:space="0"/>
              <w:left w:val="single" w:color="auto" w:sz="4" w:space="0"/>
              <w:bottom w:val="single" w:color="auto" w:sz="4" w:space="0"/>
              <w:right w:val="single" w:color="auto" w:sz="4" w:space="0"/>
              <w:tl2br w:val="nil"/>
              <w:tr2bl w:val="nil"/>
            </w:tcBorders>
          </w:tcPr>
          <w:p w14:paraId="5A3EF3A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特等奖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2DC58B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9</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C6D2FA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7</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32B4E2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524DAD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0A2E59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DEA3B4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C045E7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53F3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A93A6A9">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6F53BD5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一等奖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C85BCB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7</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1BDEEA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9846B5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F100A8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F1CF08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F98CF8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95C4AA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4DA60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35552BE">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295FCA9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二等奖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D27467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BA8FAB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A11509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8E52AB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1" w:type="dxa"/>
            <w:tcBorders>
              <w:top w:val="single" w:color="auto" w:sz="4" w:space="0"/>
              <w:left w:val="single" w:color="auto" w:sz="4" w:space="0"/>
              <w:bottom w:val="single" w:color="auto" w:sz="4" w:space="0"/>
              <w:right w:val="single" w:color="auto" w:sz="4" w:space="0"/>
              <w:tl2br w:val="nil"/>
              <w:tr2bl w:val="nil"/>
            </w:tcBorders>
          </w:tcPr>
          <w:p w14:paraId="741E7DD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748A93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52054D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3052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6409EA37">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72EB6C5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三等奖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4A9418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D4D079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650BF6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50B8AB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0.5</w:t>
            </w:r>
          </w:p>
        </w:tc>
        <w:tc>
          <w:tcPr>
            <w:tcW w:w="681" w:type="dxa"/>
            <w:tcBorders>
              <w:top w:val="single" w:color="auto" w:sz="4" w:space="0"/>
              <w:left w:val="single" w:color="auto" w:sz="4" w:space="0"/>
              <w:bottom w:val="single" w:color="auto" w:sz="4" w:space="0"/>
              <w:right w:val="single" w:color="auto" w:sz="4" w:space="0"/>
              <w:tl2br w:val="nil"/>
              <w:tr2bl w:val="nil"/>
            </w:tcBorders>
          </w:tcPr>
          <w:p w14:paraId="324DA9D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BB94FA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A08DCB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690D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0BF24BBD">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796C466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优秀奖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622811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6A6D60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1.5</w:t>
            </w:r>
          </w:p>
        </w:tc>
        <w:tc>
          <w:tcPr>
            <w:tcW w:w="681" w:type="dxa"/>
            <w:tcBorders>
              <w:top w:val="single" w:color="auto" w:sz="4" w:space="0"/>
              <w:left w:val="single" w:color="auto" w:sz="4" w:space="0"/>
              <w:bottom w:val="single" w:color="auto" w:sz="4" w:space="0"/>
              <w:right w:val="single" w:color="auto" w:sz="4" w:space="0"/>
              <w:tl2br w:val="nil"/>
              <w:tr2bl w:val="nil"/>
            </w:tcBorders>
          </w:tcPr>
          <w:p w14:paraId="08C91B8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04E371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0D845FF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F42265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B0F911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0D24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041124B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校级</w:t>
            </w:r>
          </w:p>
        </w:tc>
        <w:tc>
          <w:tcPr>
            <w:tcW w:w="1252" w:type="dxa"/>
            <w:tcBorders>
              <w:top w:val="single" w:color="auto" w:sz="4" w:space="0"/>
              <w:left w:val="single" w:color="auto" w:sz="4" w:space="0"/>
              <w:bottom w:val="single" w:color="auto" w:sz="4" w:space="0"/>
              <w:right w:val="single" w:color="auto" w:sz="4" w:space="0"/>
              <w:tl2br w:val="nil"/>
              <w:tr2bl w:val="nil"/>
            </w:tcBorders>
          </w:tcPr>
          <w:p w14:paraId="1FBB75C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一等奖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F240C81">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9819A11">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BB32A2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ABD4B4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26D3AC01">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9600E6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AF8203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3532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CADBC61">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528EF12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二等奖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57DE32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3902D2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1" w:type="dxa"/>
            <w:tcBorders>
              <w:top w:val="single" w:color="auto" w:sz="4" w:space="0"/>
              <w:left w:val="single" w:color="auto" w:sz="4" w:space="0"/>
              <w:bottom w:val="single" w:color="auto" w:sz="4" w:space="0"/>
              <w:right w:val="single" w:color="auto" w:sz="4" w:space="0"/>
              <w:tl2br w:val="nil"/>
              <w:tr2bl w:val="nil"/>
            </w:tcBorders>
          </w:tcPr>
          <w:p w14:paraId="07A3869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D37961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21DB4EA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E6F7F9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91DBCE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1C45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A8E23F6">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6115601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三等奖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E47CA4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E93855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0.6</w:t>
            </w:r>
          </w:p>
        </w:tc>
        <w:tc>
          <w:tcPr>
            <w:tcW w:w="681" w:type="dxa"/>
            <w:tcBorders>
              <w:top w:val="single" w:color="auto" w:sz="4" w:space="0"/>
              <w:left w:val="single" w:color="auto" w:sz="4" w:space="0"/>
              <w:bottom w:val="single" w:color="auto" w:sz="4" w:space="0"/>
              <w:right w:val="single" w:color="auto" w:sz="4" w:space="0"/>
              <w:tl2br w:val="nil"/>
              <w:tr2bl w:val="nil"/>
            </w:tcBorders>
          </w:tcPr>
          <w:p w14:paraId="6A277D9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0.3</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44C6F7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7F3DB2E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D0E289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B8623B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649C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7B19BEE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院级</w:t>
            </w:r>
          </w:p>
        </w:tc>
        <w:tc>
          <w:tcPr>
            <w:tcW w:w="1252" w:type="dxa"/>
            <w:tcBorders>
              <w:top w:val="single" w:color="auto" w:sz="4" w:space="0"/>
              <w:left w:val="single" w:color="auto" w:sz="4" w:space="0"/>
              <w:bottom w:val="single" w:color="auto" w:sz="4" w:space="0"/>
              <w:right w:val="single" w:color="auto" w:sz="4" w:space="0"/>
              <w:tl2br w:val="nil"/>
              <w:tr2bl w:val="nil"/>
            </w:tcBorders>
          </w:tcPr>
          <w:p w14:paraId="44592F8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一等奖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94FA0D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3F5375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0.6</w:t>
            </w:r>
          </w:p>
        </w:tc>
        <w:tc>
          <w:tcPr>
            <w:tcW w:w="681" w:type="dxa"/>
            <w:tcBorders>
              <w:top w:val="single" w:color="auto" w:sz="4" w:space="0"/>
              <w:left w:val="single" w:color="auto" w:sz="4" w:space="0"/>
              <w:bottom w:val="single" w:color="auto" w:sz="4" w:space="0"/>
              <w:right w:val="single" w:color="auto" w:sz="4" w:space="0"/>
              <w:tl2br w:val="nil"/>
              <w:tr2bl w:val="nil"/>
            </w:tcBorders>
          </w:tcPr>
          <w:p w14:paraId="5BE3AE3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C3B0EC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0D7C38D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B9AE03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79D95B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49B2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0E1FE798">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7195E24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二等奖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1B35DE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0.6</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0503E4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0.3</w:t>
            </w:r>
          </w:p>
        </w:tc>
        <w:tc>
          <w:tcPr>
            <w:tcW w:w="681" w:type="dxa"/>
            <w:tcBorders>
              <w:top w:val="single" w:color="auto" w:sz="4" w:space="0"/>
              <w:left w:val="single" w:color="auto" w:sz="4" w:space="0"/>
              <w:bottom w:val="single" w:color="auto" w:sz="4" w:space="0"/>
              <w:right w:val="single" w:color="auto" w:sz="4" w:space="0"/>
              <w:tl2br w:val="nil"/>
              <w:tr2bl w:val="nil"/>
            </w:tcBorders>
          </w:tcPr>
          <w:p w14:paraId="58CFBB8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9540BF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6D00031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65E022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94AC03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4553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C550528">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58B9F3F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三等奖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68A52F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726C68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0.1</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15159B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DCFA07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B66159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39EFE2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A20BEC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bl>
    <w:p w14:paraId="6352C51D">
      <w:pPr>
        <w:spacing w:line="320" w:lineRule="atLeast"/>
        <w:rPr>
          <w:rFonts w:ascii="仿宋_GB2312" w:hAnsi="仿宋_GB2312" w:eastAsia="仿宋_GB2312" w:cs="仿宋_GB2312"/>
          <w:color w:val="000000"/>
          <w:szCs w:val="21"/>
        </w:rPr>
      </w:pPr>
    </w:p>
    <w:p w14:paraId="24AA2222">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5、导师加分：由学工办负责反馈、整理。</w:t>
      </w:r>
    </w:p>
    <w:p w14:paraId="53BF8055">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6、学术活动：须提供官方正式且带个人姓名的邀请函、现场照片（宣读论文：宣读状态时的视频片段、宣读论文时的ppt；参与：研究生本人与带有会场标志的背景照片）。</w:t>
      </w:r>
    </w:p>
    <w:p w14:paraId="0DC81894">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7、学术讲座：以学院科学技术协会记录为准。</w:t>
      </w:r>
    </w:p>
    <w:p w14:paraId="560A6033">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文体竞赛：须提供获奖证书复印件。不同项目竞赛获奖可累积加分，同项目、不同级别只计一项最高分。竞赛项目由学院研究认定。竞赛未获奖可加参与分，需要导师或以课题组为单位参加的各类文体活动，邀请导师并成功参加，导师名下参赛学生参与分×2；若导师无法参加，邀请其他专任教师并成功参加，主要邀请人×2。</w:t>
      </w:r>
    </w:p>
    <w:p w14:paraId="7FA207E2">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文体竞赛具体获奖加分见下表，团体获奖加分减半（以获奖证书为准）</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lang w:val="en-US" w:eastAsia="zh-CN"/>
        </w:rPr>
        <w:t>如按等级获奖则学院研究换算为名次加分</w:t>
      </w:r>
      <w:r>
        <w:rPr>
          <w:rFonts w:hint="eastAsia" w:ascii="仿宋_GB2312" w:hAnsi="仿宋_GB2312" w:eastAsia="仿宋_GB2312" w:cs="仿宋_GB2312"/>
          <w:color w:val="000000"/>
          <w:szCs w:val="21"/>
        </w:rPr>
        <w:t>；</w:t>
      </w:r>
    </w:p>
    <w:tbl>
      <w:tblPr>
        <w:tblStyle w:val="8"/>
        <w:tblW w:w="0" w:type="auto"/>
        <w:tblInd w:w="10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1701"/>
        <w:gridCol w:w="1701"/>
        <w:gridCol w:w="1701"/>
        <w:gridCol w:w="1480"/>
      </w:tblGrid>
      <w:tr w14:paraId="1C17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14:paraId="3D7869E7">
            <w:pPr>
              <w:spacing w:line="320" w:lineRule="atLeast"/>
              <w:jc w:val="center"/>
              <w:rPr>
                <w:rFonts w:hint="default" w:ascii="仿宋_GB2312" w:hAnsi="仿宋_GB2312" w:eastAsia="仿宋_GB2312" w:cs="仿宋_GB2312"/>
                <w:b/>
                <w:bCs/>
                <w:color w:val="000000"/>
                <w:szCs w:val="21"/>
                <w:lang w:val="en-US" w:eastAsia="zh-CN"/>
              </w:rPr>
            </w:pPr>
            <w:r>
              <w:rPr>
                <w:rFonts w:hint="eastAsia" w:ascii="仿宋_GB2312" w:hAnsi="仿宋_GB2312" w:eastAsia="仿宋_GB2312" w:cs="仿宋_GB2312"/>
                <w:b/>
                <w:bCs/>
                <w:color w:val="000000"/>
                <w:szCs w:val="21"/>
                <w:lang w:val="en-US" w:eastAsia="zh-CN"/>
              </w:rPr>
              <w:t>名次</w:t>
            </w:r>
          </w:p>
        </w:tc>
        <w:tc>
          <w:tcPr>
            <w:tcW w:w="1701" w:type="dxa"/>
            <w:vAlign w:val="center"/>
          </w:tcPr>
          <w:p w14:paraId="075C33D4">
            <w:pPr>
              <w:spacing w:line="320" w:lineRule="atLeast"/>
              <w:jc w:val="center"/>
              <w:rPr>
                <w:rFonts w:hint="eastAsia" w:ascii="仿宋_GB2312" w:hAnsi="仿宋_GB2312" w:eastAsia="仿宋_GB2312" w:cs="仿宋_GB2312"/>
                <w:b/>
                <w:bCs/>
                <w:color w:val="000000"/>
                <w:szCs w:val="21"/>
                <w:lang w:eastAsia="zh-CN"/>
              </w:rPr>
            </w:pPr>
            <w:r>
              <w:rPr>
                <w:rFonts w:hint="eastAsia" w:ascii="仿宋_GB2312" w:hAnsi="仿宋_GB2312" w:eastAsia="仿宋_GB2312" w:cs="仿宋_GB2312"/>
                <w:b/>
                <w:bCs/>
                <w:color w:val="000000"/>
                <w:szCs w:val="21"/>
                <w:lang w:val="en-US" w:eastAsia="zh-CN"/>
              </w:rPr>
              <w:t>第一名</w:t>
            </w:r>
          </w:p>
        </w:tc>
        <w:tc>
          <w:tcPr>
            <w:tcW w:w="1701" w:type="dxa"/>
            <w:vAlign w:val="center"/>
          </w:tcPr>
          <w:p w14:paraId="2D9792D0">
            <w:pPr>
              <w:spacing w:line="320" w:lineRule="atLeast"/>
              <w:jc w:val="center"/>
              <w:rPr>
                <w:rFonts w:hint="eastAsia" w:ascii="仿宋_GB2312" w:hAnsi="仿宋_GB2312" w:eastAsia="仿宋_GB2312" w:cs="仿宋_GB2312"/>
                <w:b/>
                <w:bCs/>
                <w:color w:val="000000"/>
                <w:szCs w:val="21"/>
                <w:lang w:eastAsia="zh-CN"/>
              </w:rPr>
            </w:pPr>
            <w:r>
              <w:rPr>
                <w:rFonts w:hint="eastAsia" w:ascii="仿宋_GB2312" w:hAnsi="仿宋_GB2312" w:eastAsia="仿宋_GB2312" w:cs="仿宋_GB2312"/>
                <w:b/>
                <w:bCs/>
                <w:color w:val="000000"/>
                <w:szCs w:val="21"/>
                <w:lang w:val="en-US" w:eastAsia="zh-CN"/>
              </w:rPr>
              <w:t>第二名</w:t>
            </w:r>
          </w:p>
        </w:tc>
        <w:tc>
          <w:tcPr>
            <w:tcW w:w="1701" w:type="dxa"/>
            <w:vAlign w:val="center"/>
          </w:tcPr>
          <w:p w14:paraId="265DDBC5">
            <w:pPr>
              <w:spacing w:line="320" w:lineRule="atLeast"/>
              <w:jc w:val="center"/>
              <w:rPr>
                <w:rFonts w:hint="eastAsia" w:ascii="仿宋_GB2312" w:hAnsi="仿宋_GB2312" w:eastAsia="仿宋_GB2312" w:cs="仿宋_GB2312"/>
                <w:b/>
                <w:bCs/>
                <w:color w:val="000000"/>
                <w:szCs w:val="21"/>
                <w:lang w:eastAsia="zh-CN"/>
              </w:rPr>
            </w:pPr>
            <w:r>
              <w:rPr>
                <w:rFonts w:hint="eastAsia" w:ascii="仿宋_GB2312" w:hAnsi="仿宋_GB2312" w:eastAsia="仿宋_GB2312" w:cs="仿宋_GB2312"/>
                <w:b/>
                <w:bCs/>
                <w:color w:val="000000"/>
                <w:szCs w:val="21"/>
                <w:lang w:val="en-US" w:eastAsia="zh-CN"/>
              </w:rPr>
              <w:t>第三名</w:t>
            </w:r>
          </w:p>
        </w:tc>
        <w:tc>
          <w:tcPr>
            <w:tcW w:w="1480" w:type="dxa"/>
            <w:vAlign w:val="center"/>
          </w:tcPr>
          <w:p w14:paraId="6801DACB">
            <w:pPr>
              <w:spacing w:line="320" w:lineRule="atLeast"/>
              <w:jc w:val="center"/>
              <w:rPr>
                <w:rFonts w:hint="eastAsia" w:ascii="仿宋_GB2312" w:hAnsi="仿宋_GB2312" w:eastAsia="仿宋_GB2312" w:cs="仿宋_GB2312"/>
                <w:b/>
                <w:bCs/>
                <w:color w:val="000000"/>
                <w:szCs w:val="21"/>
                <w:lang w:eastAsia="zh-CN"/>
              </w:rPr>
            </w:pPr>
            <w:r>
              <w:rPr>
                <w:rFonts w:hint="eastAsia" w:ascii="仿宋_GB2312" w:hAnsi="仿宋_GB2312" w:eastAsia="仿宋_GB2312" w:cs="仿宋_GB2312"/>
                <w:b/>
                <w:bCs/>
                <w:color w:val="000000"/>
                <w:szCs w:val="21"/>
                <w:lang w:val="en-US" w:eastAsia="zh-CN"/>
              </w:rPr>
              <w:t>第四名</w:t>
            </w:r>
          </w:p>
        </w:tc>
      </w:tr>
      <w:tr w14:paraId="2C86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14:paraId="5C8D371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省部级及以上</w:t>
            </w:r>
          </w:p>
        </w:tc>
        <w:tc>
          <w:tcPr>
            <w:tcW w:w="1701" w:type="dxa"/>
            <w:vAlign w:val="center"/>
          </w:tcPr>
          <w:p w14:paraId="36C1D80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1701" w:type="dxa"/>
            <w:vAlign w:val="center"/>
          </w:tcPr>
          <w:p w14:paraId="3A4DA66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w:t>
            </w:r>
          </w:p>
        </w:tc>
        <w:tc>
          <w:tcPr>
            <w:tcW w:w="1701" w:type="dxa"/>
            <w:vAlign w:val="center"/>
          </w:tcPr>
          <w:p w14:paraId="7A39022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1480" w:type="dxa"/>
            <w:vAlign w:val="center"/>
          </w:tcPr>
          <w:p w14:paraId="41559C8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r>
      <w:tr w14:paraId="4921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14:paraId="0FFACD2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校级</w:t>
            </w:r>
          </w:p>
        </w:tc>
        <w:tc>
          <w:tcPr>
            <w:tcW w:w="1701" w:type="dxa"/>
            <w:vAlign w:val="center"/>
          </w:tcPr>
          <w:p w14:paraId="4C2891B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1701" w:type="dxa"/>
            <w:vAlign w:val="center"/>
          </w:tcPr>
          <w:p w14:paraId="21609E0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1701" w:type="dxa"/>
            <w:vAlign w:val="center"/>
          </w:tcPr>
          <w:p w14:paraId="518F451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1480" w:type="dxa"/>
            <w:vAlign w:val="center"/>
          </w:tcPr>
          <w:p w14:paraId="762C7D6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21E1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14:paraId="36FE44E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院级</w:t>
            </w:r>
          </w:p>
        </w:tc>
        <w:tc>
          <w:tcPr>
            <w:tcW w:w="1701" w:type="dxa"/>
            <w:vAlign w:val="center"/>
          </w:tcPr>
          <w:p w14:paraId="2C4E860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1701" w:type="dxa"/>
            <w:vAlign w:val="center"/>
          </w:tcPr>
          <w:p w14:paraId="7DDAD13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0.6</w:t>
            </w:r>
          </w:p>
        </w:tc>
        <w:tc>
          <w:tcPr>
            <w:tcW w:w="1701" w:type="dxa"/>
            <w:vAlign w:val="center"/>
          </w:tcPr>
          <w:p w14:paraId="78504C4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0.4</w:t>
            </w:r>
          </w:p>
        </w:tc>
        <w:tc>
          <w:tcPr>
            <w:tcW w:w="1480" w:type="dxa"/>
            <w:vAlign w:val="center"/>
          </w:tcPr>
          <w:p w14:paraId="05B9C3F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bl>
    <w:p w14:paraId="5A27AAD1">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9、社会工作：</w:t>
      </w:r>
    </w:p>
    <w:p w14:paraId="5A6ADA3F">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保质保量完成学校学院布置的各项工作，考核为优秀，加满分；</w:t>
      </w:r>
    </w:p>
    <w:p w14:paraId="07596C87">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工作完成不及时或质量不达标被通报1—2次，考核为良好，加80%；</w:t>
      </w:r>
    </w:p>
    <w:p w14:paraId="057099AE">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工作完成不及时或质量不达标被通报3—4次，考核为合格，加60%；</w:t>
      </w:r>
    </w:p>
    <w:p w14:paraId="2BC9AD24">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工作完成不及时或质量不达标被通报5次及以上，考核为不合格，不加分。</w:t>
      </w:r>
    </w:p>
    <w:p w14:paraId="54629A3D">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学生担任职务在测评前已担任一学年，按照测评表加分；担任一学期，任职分减半计算；担任不到一学期不加分；担任几种职务，只取一项最高分。</w:t>
      </w:r>
    </w:p>
    <w:p w14:paraId="0A443C94">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10、社会集体活动中其他类：须提供获奖证书复印件。</w:t>
      </w:r>
    </w:p>
    <w:p w14:paraId="4A4172F7">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11、奖惩：参评学年未受纪律处分、无违法违纪记录才有参评资格。</w:t>
      </w:r>
    </w:p>
    <w:p w14:paraId="72CA32F8">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获省级及以上荣誉称号，记3分；获校级荣誉称号，记1.5分；获学校通报表扬，一人次记</w:t>
      </w:r>
      <w:r>
        <w:rPr>
          <w:rFonts w:ascii="仿宋_GB2312" w:hAnsi="仿宋_GB2312" w:eastAsia="仿宋_GB2312" w:cs="仿宋_GB2312"/>
          <w:color w:val="000000"/>
          <w:szCs w:val="21"/>
        </w:rPr>
        <w:t>1</w:t>
      </w:r>
      <w:r>
        <w:rPr>
          <w:rFonts w:hint="eastAsia" w:ascii="仿宋_GB2312" w:hAnsi="仿宋_GB2312" w:eastAsia="仿宋_GB2312" w:cs="仿宋_GB2312"/>
          <w:color w:val="000000"/>
          <w:szCs w:val="21"/>
        </w:rPr>
        <w:t>分；</w:t>
      </w:r>
      <w:r>
        <w:rPr>
          <w:rFonts w:hint="eastAsia" w:ascii="仿宋_GB2312" w:hAnsi="仿宋_GB2312" w:eastAsia="仿宋_GB2312" w:cs="仿宋_GB2312"/>
          <w:color w:val="000000"/>
          <w:szCs w:val="21"/>
          <w:lang w:val="en-US" w:eastAsia="zh-CN"/>
        </w:rPr>
        <w:t>经学院审核，</w:t>
      </w:r>
      <w:r>
        <w:rPr>
          <w:rFonts w:hint="eastAsia" w:ascii="仿宋_GB2312" w:hAnsi="仿宋_GB2312" w:eastAsia="仿宋_GB2312" w:cs="仿宋_GB2312"/>
          <w:color w:val="000000"/>
          <w:szCs w:val="21"/>
        </w:rPr>
        <w:t>获学院通报表扬，一人次记0.</w:t>
      </w:r>
      <w:r>
        <w:rPr>
          <w:rFonts w:ascii="仿宋_GB2312" w:hAnsi="仿宋_GB2312" w:eastAsia="仿宋_GB2312" w:cs="仿宋_GB2312"/>
          <w:color w:val="000000"/>
          <w:szCs w:val="21"/>
        </w:rPr>
        <w:t>5</w:t>
      </w:r>
      <w:r>
        <w:rPr>
          <w:rFonts w:hint="eastAsia" w:ascii="仿宋_GB2312" w:hAnsi="仿宋_GB2312" w:eastAsia="仿宋_GB2312" w:cs="仿宋_GB2312"/>
          <w:color w:val="000000"/>
          <w:szCs w:val="21"/>
        </w:rPr>
        <w:t>分；通报表扬累计不超过</w:t>
      </w:r>
      <w:r>
        <w:rPr>
          <w:rFonts w:ascii="仿宋_GB2312" w:hAnsi="仿宋_GB2312" w:eastAsia="仿宋_GB2312" w:cs="仿宋_GB2312"/>
          <w:color w:val="000000"/>
          <w:szCs w:val="21"/>
        </w:rPr>
        <w:t>2</w:t>
      </w:r>
      <w:r>
        <w:rPr>
          <w:rFonts w:hint="eastAsia" w:ascii="仿宋_GB2312" w:hAnsi="仿宋_GB2312" w:eastAsia="仿宋_GB2312" w:cs="仿宋_GB2312"/>
          <w:color w:val="000000"/>
          <w:szCs w:val="21"/>
        </w:rPr>
        <w:t>次，必须有文件形式的证明（同一事由不同级别不能累加）；获学院通报批评，一人次减0.</w:t>
      </w:r>
      <w:r>
        <w:rPr>
          <w:rFonts w:ascii="仿宋_GB2312" w:hAnsi="仿宋_GB2312" w:eastAsia="仿宋_GB2312" w:cs="仿宋_GB2312"/>
          <w:color w:val="000000"/>
          <w:szCs w:val="21"/>
        </w:rPr>
        <w:t>5</w:t>
      </w:r>
      <w:r>
        <w:rPr>
          <w:rFonts w:hint="eastAsia" w:ascii="仿宋_GB2312" w:hAnsi="仿宋_GB2312" w:eastAsia="仿宋_GB2312" w:cs="仿宋_GB2312"/>
          <w:color w:val="000000"/>
          <w:szCs w:val="21"/>
        </w:rPr>
        <w:t>分，获年级通报批评一人次减0.</w:t>
      </w:r>
      <w:r>
        <w:rPr>
          <w:rFonts w:hint="eastAsia" w:ascii="仿宋_GB2312" w:hAnsi="仿宋_GB2312" w:eastAsia="仿宋_GB2312" w:cs="仿宋_GB2312"/>
          <w:color w:val="000000"/>
          <w:szCs w:val="21"/>
          <w:lang w:val="en-US" w:eastAsia="zh-CN"/>
        </w:rPr>
        <w:t>3</w:t>
      </w:r>
      <w:r>
        <w:rPr>
          <w:rFonts w:hint="eastAsia" w:ascii="仿宋_GB2312" w:hAnsi="仿宋_GB2312" w:eastAsia="仿宋_GB2312" w:cs="仿宋_GB2312"/>
          <w:color w:val="000000"/>
          <w:szCs w:val="21"/>
        </w:rPr>
        <w:t>分。</w:t>
      </w:r>
    </w:p>
    <w:p w14:paraId="44D143DA">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12、如遇申请者分数相同情况，由学院研究生奖学金评审委员会依次根据申请者获奖级别、数量，发表论文的刊物级别、篇数，平时学习态度、学习成绩、参加学院公益活动、集体活动情况、综合表现等确定排名先后。</w:t>
      </w:r>
    </w:p>
    <w:p w14:paraId="3EEF4875">
      <w:pPr>
        <w:spacing w:line="320" w:lineRule="atLeast"/>
        <w:ind w:firstLine="420" w:firstLineChars="200"/>
        <w:rPr>
          <w:rFonts w:ascii="仿宋_GB2312" w:hAnsi="仿宋_GB2312" w:eastAsia="仿宋_GB2312" w:cs="仿宋_GB2312"/>
          <w:color w:val="000000" w:themeColor="text1"/>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16877">
    <w:pPr>
      <w:pStyle w:val="4"/>
      <w:framePr w:wrap="around" w:vAnchor="text" w:hAnchor="margin" w:xAlign="center" w:y="1"/>
      <w:ind w:firstLine="360"/>
      <w:rPr>
        <w:rStyle w:val="10"/>
      </w:rPr>
    </w:pPr>
    <w:r>
      <w:rPr>
        <w:rStyle w:val="10"/>
      </w:rPr>
      <w:fldChar w:fldCharType="begin"/>
    </w:r>
    <w:r>
      <w:rPr>
        <w:rStyle w:val="10"/>
      </w:rPr>
      <w:instrText xml:space="preserve">PAGE  </w:instrText>
    </w:r>
    <w:r>
      <w:rPr>
        <w:rStyle w:val="10"/>
      </w:rPr>
      <w:fldChar w:fldCharType="separate"/>
    </w:r>
    <w:r>
      <w:rPr>
        <w:rStyle w:val="10"/>
      </w:rPr>
      <w:t>3</w:t>
    </w:r>
    <w:r>
      <w:rPr>
        <w:rStyle w:val="10"/>
      </w:rPr>
      <w:fldChar w:fldCharType="end"/>
    </w:r>
  </w:p>
  <w:p w14:paraId="075E9E90">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C03D6">
    <w:pPr>
      <w:pStyle w:val="4"/>
      <w:framePr w:wrap="around" w:vAnchor="text" w:hAnchor="margin" w:xAlign="center" w:y="1"/>
      <w:ind w:firstLine="360"/>
      <w:rPr>
        <w:rStyle w:val="10"/>
      </w:rPr>
    </w:pPr>
    <w:r>
      <w:rPr>
        <w:rStyle w:val="10"/>
      </w:rPr>
      <w:fldChar w:fldCharType="begin"/>
    </w:r>
    <w:r>
      <w:rPr>
        <w:rStyle w:val="10"/>
      </w:rPr>
      <w:instrText xml:space="preserve">PAGE  </w:instrText>
    </w:r>
    <w:r>
      <w:rPr>
        <w:rStyle w:val="10"/>
      </w:rPr>
      <w:fldChar w:fldCharType="end"/>
    </w:r>
  </w:p>
  <w:p w14:paraId="1E400724">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01563">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3BD21">
    <w:pPr>
      <w:pStyle w:val="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05BCA">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D5D55">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M0NThlMmYxNzFiN2ZiNjcxNDU5NGRhMzFlOWQzOTcifQ=="/>
    <w:docVar w:name="KSO_WPS_MARK_KEY" w:val="8fb221bd-e80e-48dd-8a07-14d23ed064e1"/>
  </w:docVars>
  <w:rsids>
    <w:rsidRoot w:val="00F47F47"/>
    <w:rsid w:val="00092E3F"/>
    <w:rsid w:val="000B31D1"/>
    <w:rsid w:val="000E7F82"/>
    <w:rsid w:val="00127F07"/>
    <w:rsid w:val="0019492E"/>
    <w:rsid w:val="001F1AB0"/>
    <w:rsid w:val="002030BC"/>
    <w:rsid w:val="00273630"/>
    <w:rsid w:val="0034505B"/>
    <w:rsid w:val="003B1F29"/>
    <w:rsid w:val="0045514C"/>
    <w:rsid w:val="004E5C8F"/>
    <w:rsid w:val="0051703C"/>
    <w:rsid w:val="005850C8"/>
    <w:rsid w:val="006E3B7C"/>
    <w:rsid w:val="006F3729"/>
    <w:rsid w:val="007532CB"/>
    <w:rsid w:val="00777329"/>
    <w:rsid w:val="007E1D15"/>
    <w:rsid w:val="00813D55"/>
    <w:rsid w:val="00844932"/>
    <w:rsid w:val="00877DE7"/>
    <w:rsid w:val="0089134C"/>
    <w:rsid w:val="008D5917"/>
    <w:rsid w:val="008D6260"/>
    <w:rsid w:val="008D75C8"/>
    <w:rsid w:val="00906967"/>
    <w:rsid w:val="00906A57"/>
    <w:rsid w:val="009324A6"/>
    <w:rsid w:val="009F269F"/>
    <w:rsid w:val="00A3245A"/>
    <w:rsid w:val="00AA13CA"/>
    <w:rsid w:val="00AC66CA"/>
    <w:rsid w:val="00AE6E77"/>
    <w:rsid w:val="00AF2C29"/>
    <w:rsid w:val="00B52C86"/>
    <w:rsid w:val="00B72372"/>
    <w:rsid w:val="00BA3B81"/>
    <w:rsid w:val="00C202D9"/>
    <w:rsid w:val="00C800C7"/>
    <w:rsid w:val="00C91D4C"/>
    <w:rsid w:val="00CB24BE"/>
    <w:rsid w:val="00CD571B"/>
    <w:rsid w:val="00CF5C81"/>
    <w:rsid w:val="00CF69A8"/>
    <w:rsid w:val="00D045F2"/>
    <w:rsid w:val="00DC44EA"/>
    <w:rsid w:val="00E308F6"/>
    <w:rsid w:val="00E571C7"/>
    <w:rsid w:val="00E64457"/>
    <w:rsid w:val="00E833B2"/>
    <w:rsid w:val="00F43D1F"/>
    <w:rsid w:val="00F47F47"/>
    <w:rsid w:val="00F86015"/>
    <w:rsid w:val="038B43A0"/>
    <w:rsid w:val="04B30C95"/>
    <w:rsid w:val="062F07EF"/>
    <w:rsid w:val="07E9588D"/>
    <w:rsid w:val="08167EB9"/>
    <w:rsid w:val="08852948"/>
    <w:rsid w:val="0C2D252D"/>
    <w:rsid w:val="0E782D40"/>
    <w:rsid w:val="11EB4164"/>
    <w:rsid w:val="1266424B"/>
    <w:rsid w:val="128EAF24"/>
    <w:rsid w:val="12CB447F"/>
    <w:rsid w:val="135D2E40"/>
    <w:rsid w:val="15D75C41"/>
    <w:rsid w:val="182B52BA"/>
    <w:rsid w:val="189A41EE"/>
    <w:rsid w:val="1ABD1ECE"/>
    <w:rsid w:val="1BD01CD5"/>
    <w:rsid w:val="1C4C57FF"/>
    <w:rsid w:val="1CFA525B"/>
    <w:rsid w:val="21052421"/>
    <w:rsid w:val="210A0DA2"/>
    <w:rsid w:val="24BF2E3B"/>
    <w:rsid w:val="25AF53A2"/>
    <w:rsid w:val="278715C8"/>
    <w:rsid w:val="28B36A16"/>
    <w:rsid w:val="28CE7EAF"/>
    <w:rsid w:val="291E49C7"/>
    <w:rsid w:val="292813A2"/>
    <w:rsid w:val="2BBF64CF"/>
    <w:rsid w:val="2D0068BE"/>
    <w:rsid w:val="2D7707D2"/>
    <w:rsid w:val="2E337DED"/>
    <w:rsid w:val="2E900A99"/>
    <w:rsid w:val="2ED216F8"/>
    <w:rsid w:val="2F0813DB"/>
    <w:rsid w:val="2F6446E6"/>
    <w:rsid w:val="2FA33530"/>
    <w:rsid w:val="2FB531B7"/>
    <w:rsid w:val="2FE07B7F"/>
    <w:rsid w:val="2FEDBC04"/>
    <w:rsid w:val="318D1EA8"/>
    <w:rsid w:val="32DF0D23"/>
    <w:rsid w:val="33941B0E"/>
    <w:rsid w:val="34565A32"/>
    <w:rsid w:val="349B4159"/>
    <w:rsid w:val="34C46344"/>
    <w:rsid w:val="3667F545"/>
    <w:rsid w:val="36C21C3F"/>
    <w:rsid w:val="37C4673A"/>
    <w:rsid w:val="37FDB346"/>
    <w:rsid w:val="38545D10"/>
    <w:rsid w:val="39750A0A"/>
    <w:rsid w:val="39CE564E"/>
    <w:rsid w:val="39D4535A"/>
    <w:rsid w:val="3B7A04D9"/>
    <w:rsid w:val="3C544CB9"/>
    <w:rsid w:val="3E646581"/>
    <w:rsid w:val="3F5E6CBC"/>
    <w:rsid w:val="3F702FCE"/>
    <w:rsid w:val="406D28C2"/>
    <w:rsid w:val="418D5AAD"/>
    <w:rsid w:val="42DE514B"/>
    <w:rsid w:val="42F30040"/>
    <w:rsid w:val="43282273"/>
    <w:rsid w:val="43551300"/>
    <w:rsid w:val="43DBBEED"/>
    <w:rsid w:val="476D0249"/>
    <w:rsid w:val="47E774BB"/>
    <w:rsid w:val="47EA3F9B"/>
    <w:rsid w:val="49F96717"/>
    <w:rsid w:val="4A3E05D2"/>
    <w:rsid w:val="4B8177F8"/>
    <w:rsid w:val="4C5E4F57"/>
    <w:rsid w:val="4D183358"/>
    <w:rsid w:val="4D8F5222"/>
    <w:rsid w:val="4DCA28A4"/>
    <w:rsid w:val="4E042D32"/>
    <w:rsid w:val="4E5C04D0"/>
    <w:rsid w:val="4F683E9D"/>
    <w:rsid w:val="4FBF4EFD"/>
    <w:rsid w:val="51622DF4"/>
    <w:rsid w:val="516279E3"/>
    <w:rsid w:val="54902A52"/>
    <w:rsid w:val="55322EB0"/>
    <w:rsid w:val="55BC22FC"/>
    <w:rsid w:val="561C4151"/>
    <w:rsid w:val="56C4496D"/>
    <w:rsid w:val="56FA52CE"/>
    <w:rsid w:val="588FA8D2"/>
    <w:rsid w:val="58F7263B"/>
    <w:rsid w:val="58FF0CF6"/>
    <w:rsid w:val="590B32E3"/>
    <w:rsid w:val="5AFEA243"/>
    <w:rsid w:val="5B3F5F81"/>
    <w:rsid w:val="5BA560DB"/>
    <w:rsid w:val="5BAC35E9"/>
    <w:rsid w:val="5C0E0F37"/>
    <w:rsid w:val="5CA11E94"/>
    <w:rsid w:val="5DFFBD10"/>
    <w:rsid w:val="5EFFA644"/>
    <w:rsid w:val="5FD95689"/>
    <w:rsid w:val="5FFF585C"/>
    <w:rsid w:val="602E1F77"/>
    <w:rsid w:val="607E307A"/>
    <w:rsid w:val="632C0D58"/>
    <w:rsid w:val="64590086"/>
    <w:rsid w:val="6509512B"/>
    <w:rsid w:val="65C93C29"/>
    <w:rsid w:val="664B1C51"/>
    <w:rsid w:val="66990C0E"/>
    <w:rsid w:val="67620151"/>
    <w:rsid w:val="67C8BCB7"/>
    <w:rsid w:val="67FF8A18"/>
    <w:rsid w:val="68014B72"/>
    <w:rsid w:val="68E13F04"/>
    <w:rsid w:val="697F5FDF"/>
    <w:rsid w:val="69C10B31"/>
    <w:rsid w:val="6C7625FC"/>
    <w:rsid w:val="6D45EE05"/>
    <w:rsid w:val="6DA27C35"/>
    <w:rsid w:val="6EEF7B3B"/>
    <w:rsid w:val="6F77E58E"/>
    <w:rsid w:val="6FAF24CA"/>
    <w:rsid w:val="6FC10C26"/>
    <w:rsid w:val="6FCF260E"/>
    <w:rsid w:val="6FE70C3C"/>
    <w:rsid w:val="7075082D"/>
    <w:rsid w:val="70E146F7"/>
    <w:rsid w:val="718C272C"/>
    <w:rsid w:val="73FF517D"/>
    <w:rsid w:val="74335E05"/>
    <w:rsid w:val="7499627D"/>
    <w:rsid w:val="76D52A76"/>
    <w:rsid w:val="76FC1937"/>
    <w:rsid w:val="772A140E"/>
    <w:rsid w:val="77D71596"/>
    <w:rsid w:val="77FB6532"/>
    <w:rsid w:val="78200E73"/>
    <w:rsid w:val="785827DF"/>
    <w:rsid w:val="7A652E89"/>
    <w:rsid w:val="7A8F7F06"/>
    <w:rsid w:val="7B267AB1"/>
    <w:rsid w:val="7B42766E"/>
    <w:rsid w:val="7B69E3CD"/>
    <w:rsid w:val="7CB0582D"/>
    <w:rsid w:val="7DEF02F7"/>
    <w:rsid w:val="7DF72222"/>
    <w:rsid w:val="7E3239CA"/>
    <w:rsid w:val="7EFCF5C1"/>
    <w:rsid w:val="7F0B18BC"/>
    <w:rsid w:val="7F3F0DF9"/>
    <w:rsid w:val="7F4FF5F6"/>
    <w:rsid w:val="7F707618"/>
    <w:rsid w:val="7F9D539A"/>
    <w:rsid w:val="7FB659DA"/>
    <w:rsid w:val="7FB7D722"/>
    <w:rsid w:val="97EF75CD"/>
    <w:rsid w:val="9FFDD879"/>
    <w:rsid w:val="A9DF6EA3"/>
    <w:rsid w:val="B36DC45E"/>
    <w:rsid w:val="B73EEFF6"/>
    <w:rsid w:val="B8F6DBBF"/>
    <w:rsid w:val="BF3FAE7E"/>
    <w:rsid w:val="BF5D7578"/>
    <w:rsid w:val="BFD58315"/>
    <w:rsid w:val="DB3FD3A2"/>
    <w:rsid w:val="DDF7EC24"/>
    <w:rsid w:val="DFF54BFA"/>
    <w:rsid w:val="E67B96FD"/>
    <w:rsid w:val="E6FF2297"/>
    <w:rsid w:val="EB7F88A6"/>
    <w:rsid w:val="EBF7519E"/>
    <w:rsid w:val="ED5752BD"/>
    <w:rsid w:val="ED5FEE4C"/>
    <w:rsid w:val="EFBD79BF"/>
    <w:rsid w:val="F2FFF7CC"/>
    <w:rsid w:val="F48B2D98"/>
    <w:rsid w:val="F79D18D3"/>
    <w:rsid w:val="FCF767ED"/>
    <w:rsid w:val="FCFB5F1E"/>
    <w:rsid w:val="FE7F7E96"/>
    <w:rsid w:val="FEF5EEF0"/>
    <w:rsid w:val="FEFFA71C"/>
    <w:rsid w:val="FF656696"/>
    <w:rsid w:val="FF67AF9C"/>
    <w:rsid w:val="FF9F2280"/>
    <w:rsid w:val="FFEEE97F"/>
    <w:rsid w:val="FFFC95A6"/>
    <w:rsid w:val="FFFE64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semiHidden/>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page number"/>
    <w:qFormat/>
    <w:uiPriority w:val="0"/>
    <w:rPr>
      <w:rFonts w:cs="Times New Roman"/>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semiHidden/>
    <w:qFormat/>
    <w:uiPriority w:val="99"/>
    <w:rPr>
      <w:sz w:val="18"/>
      <w:szCs w:val="18"/>
    </w:rPr>
  </w:style>
  <w:style w:type="character" w:customStyle="1" w:styleId="13">
    <w:name w:val="页脚 字符"/>
    <w:basedOn w:val="9"/>
    <w:link w:val="4"/>
    <w:semiHidden/>
    <w:qFormat/>
    <w:uiPriority w:val="99"/>
    <w:rPr>
      <w:sz w:val="18"/>
      <w:szCs w:val="18"/>
    </w:rPr>
  </w:style>
  <w:style w:type="character" w:customStyle="1" w:styleId="14">
    <w:name w:val="批注框文本 字符"/>
    <w:basedOn w:val="9"/>
    <w:link w:val="3"/>
    <w:semiHidden/>
    <w:qFormat/>
    <w:uiPriority w:val="99"/>
    <w:rPr>
      <w:rFonts w:asciiTheme="minorHAnsi" w:hAnsiTheme="minorHAnsi" w:eastAsiaTheme="minorEastAsia" w:cstheme="minorBidi"/>
      <w:kern w:val="2"/>
      <w:sz w:val="18"/>
      <w:szCs w:val="18"/>
    </w:rPr>
  </w:style>
  <w:style w:type="character" w:customStyle="1" w:styleId="15">
    <w:name w:val="批注文字 字符"/>
    <w:basedOn w:val="9"/>
    <w:link w:val="2"/>
    <w:semiHidden/>
    <w:qFormat/>
    <w:uiPriority w:val="99"/>
    <w:rPr>
      <w:rFonts w:asciiTheme="minorHAnsi" w:hAnsiTheme="minorHAnsi" w:eastAsiaTheme="minorEastAsia" w:cstheme="minorBidi"/>
      <w:kern w:val="2"/>
      <w:sz w:val="21"/>
      <w:szCs w:val="22"/>
    </w:rPr>
  </w:style>
  <w:style w:type="character" w:customStyle="1" w:styleId="16">
    <w:name w:val="批注主题 字符"/>
    <w:basedOn w:val="15"/>
    <w:link w:val="6"/>
    <w:qFormat/>
    <w:uiPriority w:val="0"/>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2509</Words>
  <Characters>2596</Characters>
  <Lines>30</Lines>
  <Paragraphs>8</Paragraphs>
  <TotalTime>26</TotalTime>
  <ScaleCrop>false</ScaleCrop>
  <LinksUpToDate>false</LinksUpToDate>
  <CharactersWithSpaces>2600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2023-02-23T09:15:00Z</dcterms:created>
  <dc:creator>guo</dc:creator>
  <cp:lastModifiedBy>MQL</cp:lastModifiedBy>
  <cp:lastPrinted>2023-05-26T01:50:00Z</cp:lastPrinted>
  <dcterms:modified xsi:type="dcterms:W3CDTF">2025-03-28T09:16:20Z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B34937B1DEC844EA9748BEA7E4D9B9F9</vt:lpwstr>
  </property>
  <property fmtid="{D5CDD505-2E9C-101B-9397-08002B2CF9AE}" pid="4" name="KSOTemplateDocerSaveRecord">
    <vt:lpwstr>eyJoZGlkIjoiNmM0ODY3YjcwYTg0N2EwMjc0YjJmMDg1NmNiYzdiYTMiLCJ1c2VySWQiOiIxNzUyMTExNCJ9</vt:lpwstr>
  </property>
</Properties>
</file>